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Calibri" w:cs="Calibri" w:hAnsi="Calibri" w:eastAsia="Calibri"/>
        </w:rPr>
      </w:pPr>
      <w:r>
        <w:drawing>
          <wp:inline distT="0" distB="0" distL="0" distR="0">
            <wp:extent cx="2220597" cy="45568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7" cy="455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ind w:left="1440" w:firstLine="72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</w:rPr>
        <w:drawing>
          <wp:inline distT="0" distB="0" distL="0" distR="0">
            <wp:extent cx="3057525" cy="2182733"/>
            <wp:effectExtent l="0" t="0" r="0" b="0"/>
            <wp:docPr id="1073741826" name="officeArt object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phical user interface, website&#10;&#10;Description automatically generated" descr="Graphical user interface, websit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82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ab/>
        <w:tab/>
        <w:tab/>
        <w:tab/>
      </w:r>
      <w:r>
        <w:rPr>
          <w:rFonts w:ascii="Calibri" w:cs="Calibri" w:hAnsi="Calibri" w:eastAsia="Calibri"/>
          <w:color w:val="0000ff"/>
          <w:sz w:val="18"/>
          <w:szCs w:val="18"/>
          <w:u w:color="0000ff"/>
          <w:rtl w:val="0"/>
        </w:rPr>
        <w:t xml:space="preserve">     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al.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Spole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 xml:space="preserve">nost Kingston Technology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vedla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 v roce 2021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eb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říč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ek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 dodavatel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SSD disk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ů</w:t>
      </w:r>
    </w:p>
    <w:p>
      <w:pPr>
        <w:pStyle w:val="Normal.0"/>
        <w:spacing w:line="360" w:lineRule="auto"/>
        <w:rPr>
          <w:rFonts w:ascii="Calibri" w:cs="Calibri" w:hAnsi="Calibri" w:eastAsia="Calibri"/>
          <w:i w:val="1"/>
          <w:iCs w:val="1"/>
          <w:color w:val="ff0000"/>
          <w:sz w:val="28"/>
          <w:szCs w:val="28"/>
          <w:u w:color="ff0000"/>
          <w:shd w:val="clear" w:color="auto" w:fill="ffffff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olor w:val="ff0000"/>
          <w:sz w:val="28"/>
          <w:szCs w:val="28"/>
          <w:u w:color="ff000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Pokra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uj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r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ů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st ve 4.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tvrtlet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upevnil prvn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sto v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ž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eb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říč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ku za cel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rok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 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paragraph"/>
        <w:spacing w:line="36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Praha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1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7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. b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ezna 2022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, kter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je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robcem flash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pobo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kou Kingston Technology Company,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dra v oblasti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dnes ozn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mila,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zakon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ila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ěš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rok 2021 na prvn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pozici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na trhu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hlediska pod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prodan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SSD jednotek. Popt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vka po SSD z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stala vysok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 ve 4.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tvrtlet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2021 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ky pokra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mu 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stu v klientsk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ch, firemn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i OEM sektorech.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nost Kingston tak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roz</w:t>
      </w:r>
      <w:r>
        <w:rPr>
          <w:rFonts w:ascii="Calibri" w:cs="Calibri" w:hAnsi="Calibri" w:eastAsia="Calibri"/>
          <w:sz w:val="22"/>
          <w:szCs w:val="22"/>
          <w:rtl w:val="0"/>
        </w:rPr>
        <w:t>šíř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ila v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jnu </w:t>
      </w:r>
      <w:r>
        <w:rPr>
          <w:rFonts w:ascii="Calibri" w:cs="Calibri" w:hAnsi="Calibri" w:eastAsia="Calibri"/>
          <w:sz w:val="22"/>
          <w:szCs w:val="22"/>
          <w:rtl w:val="0"/>
        </w:rPr>
        <w:t>sv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portfolio uveden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dvou nov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ch, vysoce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klientsk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M.2 NVMe PCIe Gen 4 SSD disk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"https://www.kingston.com/ssd/kc3000-nvme-m2-solid-state-drive"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KC3000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"https://www.kingston.com/ssd/gaming/kingston-fury-renegade-nvme-m2-ssd"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Kingston FURY Renegade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</w:p>
    <w:p>
      <w:pPr>
        <w:pStyle w:val="Normal.0"/>
        <w:spacing w:line="360" w:lineRule="auto"/>
        <w:ind w:firstLine="72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daje o pod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lu na trhu od analytick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zkumn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TRENDFOCUS uk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zaly,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Kingston je jedni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kou na trhu klientsk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ch SSD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 jednotek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tomto sektoru dos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hl 22,2 %, co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edstavuje 22,3 milionu klientsk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SSD dodan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za cel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rok 2021. V samotn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m 4.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tvrtlet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vzrostl pod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Kingston v prodejn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kan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lu na trhu klientsk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 solidn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26,8 %, co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 zdrav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meziro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stu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tu kus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it-IT"/>
        </w:rPr>
        <w:t>i 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es pokra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nedostatek komponent. Podle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TRENDFOCUS se celkov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et klientsk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SSD jednotek v roce 2021 meziro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il o 12,4 %.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et SSD jednotek pro notebooky se meziro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il o 12 %, zat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mco u stoln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čů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byl ve stejn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obdob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jen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1% 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st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to odr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áží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rychl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zav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do klientsk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zejm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 kv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li vy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šší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mu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konu, mal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rozm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pt-PT"/>
        </w:rPr>
        <w:t>m a ni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žší 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n-US"/>
        </w:rPr>
        <w:t>spot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it-IT"/>
        </w:rPr>
        <w:t>energie.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 Kingston si udr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uje konkuren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hodu 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ky 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sn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spolupr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ci se sv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mi dodavateli, partnery a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kazn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ky, aby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stala flexibiln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dok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zala se 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izp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sobit neust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 se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pot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a podm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na trhu.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</w:p>
    <w:p>
      <w:pPr>
        <w:pStyle w:val="Normal.0"/>
        <w:spacing w:line="360" w:lineRule="auto"/>
        <w:ind w:firstLine="72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 roce 2021 do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lo k t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ěř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9% 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stu celkov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dod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vek osobn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čů</w:t>
      </w:r>
      <w:r>
        <w:rPr>
          <w:rStyle w:val="None"/>
          <w:rFonts w:ascii="Calibri" w:cs="Calibri" w:hAnsi="Calibri" w:eastAsia="Calibri"/>
          <w:sz w:val="17"/>
          <w:szCs w:val="17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it-IT"/>
        </w:rPr>
        <w:t>, co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znamen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nejvy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šší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objem dod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vek od roku 2014. Zv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popt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vky po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pos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lilo ji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tak vysokou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ru za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n-US"/>
        </w:rPr>
        <w:t>do notebook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nad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 podporovalo 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itosti k 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stu,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“ 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ekl Don Jeanette, viceprezident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TRENDFOCUS.</w:t>
      </w:r>
    </w:p>
    <w:p>
      <w:pPr>
        <w:pStyle w:val="Normal.0"/>
        <w:spacing w:line="360" w:lineRule="auto"/>
        <w:ind w:firstLine="72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sledky pr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zkumu za rok 2021 potvrzuj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rostouc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znam a pozici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nosti Kingston na trhu 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“ 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ekl Tony Hollingsbee, obchodn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mana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er pro SSD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nosti Kingston v regionu EMEA.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Kingston je ji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35 let stabiln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pt-PT"/>
        </w:rPr>
        <w:t>m a 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ryhodn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robcem vysoce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pro ukl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dat.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uplynul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 desetilet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jsme pokra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ovali v konsolidaci 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eho produktov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 portfolia a nab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SATA a NVMe SSD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optimalizovan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pro stoln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i notebooky. Dosa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tohoto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chu si vy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dalo velk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sil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cel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ho 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mu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etn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na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ich partner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, prodejc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kazn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 Jsem 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d,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pt-PT"/>
        </w:rPr>
        <w:t xml:space="preserve">e tento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de-DE"/>
        </w:rPr>
        <w:t>ch 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ůž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eme spole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let, a chci za to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em pod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kovat.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s-ES_tradnl"/>
        </w:rPr>
        <w:t>ce informac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Nevztahuje se na chromebooky.</w:t>
      </w:r>
    </w:p>
    <w:p>
      <w:pPr>
        <w:pStyle w:val="Normal.0"/>
        <w:spacing w:line="360" w:lineRule="auto"/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bookmarkStart w:name="_Hlk23239824" w:id="0"/>
      <w:bookmarkEnd w:id="0"/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t zde: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"http://www.youtube.com/kingstontechmemory"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"https://www.instagram.com/kingstontechnology"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"http://www.facebook.com/kingstontechnologyeurope"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"http://www.linkedin.com/company/kingston"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"https://twitter.com/KingstonTech"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"https://www.kingston.com/landing/kingston-is-with-you"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produkt</w:t>
      </w:r>
      <w:r>
        <w:rPr>
          <w:rStyle w:val="None"/>
          <w:rFonts w:ascii="Calibri" w:cs="Calibri" w:hAnsi="Calibri" w:eastAsia="Calibri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"http://www.kingston.com/?utm_source=pr"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"https://www.kingston.com/en/company/press"</w:instrText>
      </w:r>
      <w:r>
        <w:rPr>
          <w:rStyle w:val="Hyperlink.4"/>
        </w:rPr>
        <w:fldChar w:fldCharType="separate" w:fldLock="0"/>
      </w:r>
      <w:r>
        <w:rPr>
          <w:rStyle w:val="Hyperlink.4"/>
          <w:rFonts w:cs="Arial Unicode MS" w:eastAsia="Arial Unicode MS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"mailto:Dfowler@kingston.eu"</w:instrText>
      </w:r>
      <w:r>
        <w:rPr>
          <w:rStyle w:val="Hyperlink.5"/>
        </w:rPr>
        <w:fldChar w:fldCharType="separate" w:fldLock="0"/>
      </w:r>
      <w:r>
        <w:rPr>
          <w:rStyle w:val="Hyperlink.5"/>
          <w:rFonts w:cs="Arial Unicode MS" w:eastAsia="Arial Unicode MS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Fonts w:cs="Arial Unicode MS" w:eastAsia="Arial Unicode MS"/>
          <w:rtl w:val="0"/>
        </w:rPr>
        <w:t>jasna.sykorova@taktiq.com</w:t>
      </w:r>
      <w:r>
        <w:rPr/>
        <w:fldChar w:fldCharType="end" w:fldLock="0"/>
      </w:r>
    </w:p>
    <w:p>
      <w:pPr>
        <w:pStyle w:val="Normal.0"/>
        <w:spacing w:line="360" w:lineRule="auto"/>
      </w:pPr>
      <w:r>
        <w:rPr>
          <w:rFonts w:ascii="Calibri" w:cs="Calibri" w:hAnsi="Calibri" w:eastAsia="Calibri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000ff"/>
      <w:u w:val="single" w:color="0000ff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563c1"/>
      <w:u w:val="single" w:color="0563c1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