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2371725" cy="10541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5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2615247</wp:posOffset>
            </wp:positionH>
            <wp:positionV relativeFrom="line">
              <wp:posOffset>16509</wp:posOffset>
            </wp:positionV>
            <wp:extent cx="2781300" cy="137668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A picture containing text, electron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text, electronics&#10;&#10;Description automatically generated" descr="A picture containing text, electronics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76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sz w:val="18"/>
          <w:szCs w:val="18"/>
        </w:rPr>
        <w:tab/>
        <w:tab/>
      </w:r>
    </w:p>
    <w:p>
      <w:pPr>
        <w:pStyle w:val="Normal.0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color w:val="ff0000"/>
          <w:u w:color="ff000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Kingston FURY uv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d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na trh pam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de-DE"/>
        </w:rPr>
        <w:t xml:space="preserve">ti DDR5 SODIMM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i w:val="1"/>
          <w:iCs w:val="1"/>
          <w:color w:val="ff0000"/>
          <w:sz w:val="28"/>
          <w:szCs w:val="28"/>
          <w:u w:color="ff0000"/>
          <w:shd w:val="clear" w:color="auto" w:fill="ffffff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Mal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rozm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ry, ohromn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kon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Sady s certifikac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Intel XMP 3.0 a kapacitou a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it-IT"/>
        </w:rPr>
        <w:t>64 GB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  <w:lang w:val="en-US"/>
        </w:rPr>
        <w:t>Praha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 xml:space="preserve"> –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1. 3. 2022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–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Kingston FURY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, hern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divize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nosti Kingston Technology Company, 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l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dra v oblasti pam</w:t>
      </w:r>
      <w:r>
        <w:rPr>
          <w:rFonts w:ascii="Calibri" w:cs="Calibri" w:hAnsi="Calibri" w:eastAsia="Calibri"/>
          <w:sz w:val="22"/>
          <w:szCs w:val="22"/>
          <w:rtl w:val="0"/>
        </w:rPr>
        <w:t>ěť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produkt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a technologick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oznamuje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"https://www.kingston.com/memory/gaming/kingston-fury-impact-ddr5-memory"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Kingston FURY</w:t>
      </w:r>
      <w:r>
        <w:rPr>
          <w:rStyle w:val="Hyperlink.0"/>
          <w:rtl w:val="0"/>
        </w:rPr>
        <w:t xml:space="preserve">™ </w:t>
      </w:r>
      <w:r>
        <w:rPr>
          <w:rStyle w:val="Hyperlink.0"/>
          <w:rtl w:val="0"/>
          <w:lang w:val="de-DE"/>
        </w:rPr>
        <w:t>Impact DDR5 SODIMM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>. Jsou ide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 hr</w:t>
      </w:r>
      <w:r>
        <w:rPr>
          <w:rFonts w:ascii="Calibri" w:cs="Calibri" w:hAnsi="Calibri" w:eastAsia="Calibri"/>
          <w:sz w:val="22"/>
          <w:szCs w:val="22"/>
          <w:rtl w:val="0"/>
        </w:rPr>
        <w:t>áč</w:t>
      </w:r>
      <w:r>
        <w:rPr>
          <w:rFonts w:ascii="Calibri" w:cs="Calibri" w:hAnsi="Calibri" w:eastAsia="Calibri"/>
          <w:sz w:val="22"/>
          <w:szCs w:val="22"/>
          <w:rtl w:val="0"/>
        </w:rPr>
        <w:t>e nebo 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ta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nad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ence, kte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od sv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notebooku nebo mal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ta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pi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kov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nejnov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j</w:t>
      </w:r>
      <w:r>
        <w:rPr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sz w:val="22"/>
          <w:szCs w:val="22"/>
          <w:rtl w:val="0"/>
        </w:rPr>
        <w:t>ch technologi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ti Kingston FURY Impact DDR5 jsou o 50 % rychlej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ne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ti typu DDR4, co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áší </w:t>
      </w:r>
      <w:r>
        <w:rPr>
          <w:rFonts w:ascii="Calibri" w:cs="Calibri" w:hAnsi="Calibri" w:eastAsia="Calibri"/>
          <w:sz w:val="22"/>
          <w:szCs w:val="22"/>
          <w:rtl w:val="0"/>
        </w:rPr>
        <w:t>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konu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her, renderov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multitaskingu,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jejich 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zk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spot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eba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nap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nap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1,1 V omezuje zah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ti </w:t>
      </w:r>
      <w:bookmarkStart w:name="_Hlk94885312" w:id="0"/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Kingston FURY Impact DDR5</w:t>
      </w:r>
      <w:bookmarkEnd w:id="0"/>
      <w:r>
        <w:rPr>
          <w:rFonts w:ascii="Calibri" w:cs="Calibri" w:hAnsi="Calibri" w:eastAsia="Calibri"/>
          <w:sz w:val="22"/>
          <w:szCs w:val="22"/>
          <w:rtl w:val="0"/>
        </w:rPr>
        <w:t xml:space="preserve"> s certifikac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Intel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® </w:t>
      </w:r>
      <w:r>
        <w:rPr>
          <w:rFonts w:ascii="Calibri" w:cs="Calibri" w:hAnsi="Calibri" w:eastAsia="Calibri"/>
          <w:sz w:val="22"/>
          <w:szCs w:val="22"/>
          <w:rtl w:val="0"/>
        </w:rPr>
        <w:t>XMP 3.0 jsou k dispozici tak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 sad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ch s celkovou kapacitou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64 GB a nab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zej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echny pokro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funkce technologie DDR5 v tenk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a kompaktn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form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tu. 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ky inovativn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Plug-N-Play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1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technologii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etaktov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On-die ECC automaticky podporuj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enosy s rychlost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4800 MT/s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 ni</w:t>
      </w:r>
      <w:r>
        <w:rPr>
          <w:rFonts w:ascii="Calibri" w:cs="Calibri" w:hAnsi="Calibri" w:eastAsia="Calibri"/>
          <w:sz w:val="22"/>
          <w:szCs w:val="22"/>
          <w:rtl w:val="0"/>
        </w:rPr>
        <w:t>žší</w:t>
      </w:r>
      <w:r>
        <w:rPr>
          <w:rFonts w:ascii="Calibri" w:cs="Calibri" w:hAnsi="Calibri" w:eastAsia="Calibri"/>
          <w:sz w:val="22"/>
          <w:szCs w:val="22"/>
          <w:rtl w:val="0"/>
        </w:rPr>
        <w:t>mi latencemi ne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standardn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ti DDR5-4800. Umo</w:t>
      </w:r>
      <w:r>
        <w:rPr>
          <w:rFonts w:ascii="Calibri" w:cs="Calibri" w:hAnsi="Calibri" w:eastAsia="Calibri"/>
          <w:sz w:val="22"/>
          <w:szCs w:val="22"/>
          <w:rtl w:val="0"/>
        </w:rPr>
        <w:t>žň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tak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it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syst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bez nutnosti nastavovat profil a zachov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integritu dat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dosahov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extr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rychlost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color w:val="000000"/>
          <w:position w:val="2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Jsme 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di,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m</w:t>
      </w:r>
      <w:r>
        <w:rPr>
          <w:rFonts w:ascii="Calibri" w:cs="Calibri" w:hAnsi="Calibri" w:eastAsia="Calibri"/>
          <w:sz w:val="22"/>
          <w:szCs w:val="22"/>
          <w:rtl w:val="0"/>
        </w:rPr>
        <w:t>ůž</w:t>
      </w:r>
      <w:r>
        <w:rPr>
          <w:rFonts w:ascii="Calibri" w:cs="Calibri" w:hAnsi="Calibri" w:eastAsia="Calibri"/>
          <w:sz w:val="22"/>
          <w:szCs w:val="22"/>
          <w:rtl w:val="0"/>
        </w:rPr>
        <w:t>eme roz</w:t>
      </w:r>
      <w:r>
        <w:rPr>
          <w:rFonts w:ascii="Calibri" w:cs="Calibri" w:hAnsi="Calibri" w:eastAsia="Calibri"/>
          <w:sz w:val="22"/>
          <w:szCs w:val="22"/>
          <w:rtl w:val="0"/>
        </w:rPr>
        <w:t>šíř</w:t>
      </w:r>
      <w:r>
        <w:rPr>
          <w:rFonts w:ascii="Calibri" w:cs="Calibri" w:hAnsi="Calibri" w:eastAsia="Calibri"/>
          <w:sz w:val="22"/>
          <w:szCs w:val="22"/>
          <w:rtl w:val="0"/>
        </w:rPr>
        <w:t>it na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 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adu vysoce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DDR5 o 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Kingston FURY Impact DDR5 SODIMM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  <w:r>
        <w:rPr>
          <w:rFonts w:ascii="Calibri" w:cs="Calibri" w:hAnsi="Calibri" w:eastAsia="Calibri"/>
          <w:sz w:val="22"/>
          <w:szCs w:val="22"/>
          <w:rtl w:val="0"/>
        </w:rPr>
        <w:t>“ ř</w:t>
      </w:r>
      <w:r>
        <w:rPr>
          <w:rFonts w:ascii="Calibri" w:cs="Calibri" w:hAnsi="Calibri" w:eastAsia="Calibri"/>
          <w:sz w:val="22"/>
          <w:szCs w:val="22"/>
          <w:rtl w:val="0"/>
        </w:rPr>
        <w:t>ekla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</w:rPr>
        <w:t xml:space="preserve"> Iwona Zalewska, obchodn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</w:rPr>
        <w:t>mana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</w:rPr>
        <w:t>erka pro pam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shd w:val="clear" w:color="auto" w:fill="ffffff"/>
          <w:rtl w:val="0"/>
          <w:lang w:val="de-DE"/>
        </w:rPr>
        <w:t>ti DRAM v Kingston EMEA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Hr</w:t>
      </w:r>
      <w:r>
        <w:rPr>
          <w:rFonts w:ascii="Calibri" w:cs="Calibri" w:hAnsi="Calibri" w:eastAsia="Calibri"/>
          <w:sz w:val="22"/>
          <w:szCs w:val="22"/>
          <w:rtl w:val="0"/>
        </w:rPr>
        <w:t>áč</w:t>
      </w:r>
      <w:r>
        <w:rPr>
          <w:rFonts w:ascii="Calibri" w:cs="Calibri" w:hAnsi="Calibri" w:eastAsia="Calibri"/>
          <w:sz w:val="22"/>
          <w:szCs w:val="22"/>
          <w:rtl w:val="0"/>
        </w:rPr>
        <w:t>i a tv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rci obsahu si nyn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mohou u</w:t>
      </w:r>
      <w:r>
        <w:rPr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Fonts w:ascii="Calibri" w:cs="Calibri" w:hAnsi="Calibri" w:eastAsia="Calibri"/>
          <w:sz w:val="22"/>
          <w:szCs w:val="22"/>
          <w:rtl w:val="0"/>
        </w:rPr>
        <w:t>vat mimo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 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DDR5 ve stoln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i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enosn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ta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ch.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color w:val="000000"/>
          <w:position w:val="2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Pam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ti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Kingston FURY Impact DDR5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jsou k dispozici jako samostatn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moduly o kapacit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32 GB nebo sady po dvou modulech o celkov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kapacit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64 GB a je na 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poskytov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na omezen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do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ruka a podpora op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raj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se o 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ce ne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30 let zku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nosti Kingston. </w:t>
      </w:r>
    </w:p>
    <w:p>
      <w:pPr>
        <w:pStyle w:val="Normal.0"/>
        <w:spacing w:line="360" w:lineRule="auto"/>
        <w:ind w:firstLine="72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Dal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informace 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/>
        <w:fldChar w:fldCharType="end" w:fldLock="0"/>
      </w:r>
      <w:r>
        <w:rPr>
          <w:rStyle w:val="Hyperlink.1"/>
          <w:rtl w:val="0"/>
        </w:rPr>
        <w:t>/gaming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Vlastnosti a parametry pam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de-DE"/>
        </w:rPr>
        <w:t>Kingston FURY Impact DDR5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Vysok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kon DDR5 SODIMM: </w:t>
      </w:r>
      <w:r>
        <w:rPr>
          <w:rFonts w:ascii="Calibri" w:cs="Calibri" w:hAnsi="Calibri" w:eastAsia="Calibri"/>
          <w:sz w:val="22"/>
          <w:szCs w:val="22"/>
          <w:rtl w:val="0"/>
        </w:rPr>
        <w:t>O 50 % rychlej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ne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DDR4 pro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konu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her, renderov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multitaskingu.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Plug-N-Play funkce automatick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ho p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etaktov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:</w:t>
      </w:r>
      <w:r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Kingston FURY Impact DDR5 se automaticky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etaktuje na nejvy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šší </w:t>
      </w:r>
      <w:r>
        <w:rPr>
          <w:rFonts w:ascii="Calibri" w:cs="Calibri" w:hAnsi="Calibri" w:eastAsia="Calibri"/>
          <w:sz w:val="22"/>
          <w:szCs w:val="22"/>
          <w:rtl w:val="0"/>
        </w:rPr>
        <w:t>specifikovanou rychlost.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Certifikace pro Intel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®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XMP 3.0: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Maximalizuje 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kon pam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ti d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en-US"/>
        </w:rPr>
        <w:t>ky optim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ln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mu 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ednastaven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 č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asov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, rychlosti a nap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pro 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etaktov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žší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spot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eba energie, vy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šší úč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innost: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Udr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ž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ujte sv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ů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j syst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m chladn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a efektivn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d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ky 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zk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mu nap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jec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mu nap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m 1,1 V pam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ti Impact DDR5.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Vylep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stabilita s technologi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On-Die ECC: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Zachov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nl-NL"/>
        </w:rPr>
        <w:t>integritu dat i 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i p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etaktov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sz w:val="22"/>
          <w:szCs w:val="22"/>
          <w:rtl w:val="0"/>
        </w:rPr>
        <w:t>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Kapacity:</w:t>
      </w:r>
    </w:p>
    <w:p>
      <w:pPr>
        <w:pStyle w:val="Normal.0"/>
        <w:numPr>
          <w:ilvl w:val="1"/>
          <w:numId w:val="6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Samostatn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moduly: 8 GB, 16 GB, 32 GB </w:t>
        <w:tab/>
        <w:tab/>
        <w:tab/>
        <w:tab/>
      </w:r>
    </w:p>
    <w:p>
      <w:pPr>
        <w:pStyle w:val="Normal.0"/>
        <w:numPr>
          <w:ilvl w:val="1"/>
          <w:numId w:val="6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Sady 2 modul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: 16 GB, 32 GB, 64 GB</w:t>
        <w:tab/>
        <w:tab/>
        <w:tab/>
        <w:tab/>
        <w:tab/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Frekvence</w:t>
      </w:r>
      <w:r>
        <w:rPr>
          <w:rStyle w:val="None"/>
          <w:rFonts w:ascii="Calibri" w:cs="Calibri" w:hAnsi="Calibri" w:eastAsia="Calibri"/>
          <w:sz w:val="22"/>
          <w:szCs w:val="22"/>
          <w:vertAlign w:val="superscript"/>
          <w:rtl w:val="0"/>
        </w:rPr>
        <w:t>1, 2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:</w:t>
        <w:tab/>
        <w:t xml:space="preserve">4800 MT/s 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es-ES_tradnl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s-ES_tradnl"/>
        </w:rPr>
        <w:t>Latence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:</w:t>
        <w:tab/>
        <w:t>CL38</w:t>
        <w:tab/>
        <w:tab/>
        <w:tab/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Nap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  <w:tab/>
      </w:r>
      <w:r>
        <w:rPr>
          <w:rFonts w:ascii="Calibri" w:cs="Calibri" w:hAnsi="Calibri" w:eastAsia="Calibri"/>
          <w:sz w:val="22"/>
          <w:szCs w:val="22"/>
          <w:rtl w:val="0"/>
        </w:rPr>
        <w:t>1,1 V</w:t>
        <w:tab/>
        <w:tab/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Provozn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teplota: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0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85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°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Rozm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ry: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  <w:tab/>
        <w:t>69,6</w:t>
      </w:r>
      <w:r>
        <w:rPr>
          <w:rFonts w:ascii="Calibri" w:cs="Calibri" w:hAnsi="Calibri" w:eastAsia="Calibri"/>
          <w:sz w:val="22"/>
          <w:szCs w:val="22"/>
          <w:rtl w:val="0"/>
        </w:rPr>
        <w:t>×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30 mm</w:t>
      </w:r>
    </w:p>
    <w:p>
      <w:pPr>
        <w:pStyle w:val="Normal.0"/>
        <w:rPr>
          <w:rStyle w:val="None"/>
          <w:rFonts w:ascii="Calibri" w:cs="Calibri" w:hAnsi="Calibri" w:eastAsia="Calibri"/>
          <w:color w:val="404040"/>
          <w:u w:color="404040"/>
        </w:rPr>
      </w:pPr>
    </w:p>
    <w:p>
      <w:pPr>
        <w:pStyle w:val="Normal.0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Plug-N-Play pam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ěť 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en-US"/>
        </w:rPr>
        <w:t>Kingston FURY pob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ěží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 syst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mech podporuj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de-DE"/>
        </w:rPr>
        <w:t>ch DDR5 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do rychlosti povolen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pt-PT"/>
        </w:rPr>
        <w:t>BIOSem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robce. PnP nem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ůž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 zv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it rychlost syst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mov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pam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ti nad hodnotu, kterou povoluje BIOS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robce. Plug-N-Play pam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ti Kingston FURY DDR5 podporuj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specifikace XMP 3.0, tak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etaktov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lze dos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hnout tak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aktivac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pt-PT"/>
        </w:rPr>
        <w:t>vestav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ho profilu XMP.</w:t>
      </w:r>
    </w:p>
    <w:p>
      <w:pPr>
        <w:pStyle w:val="Normal.0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rtl w:val="0"/>
        </w:rPr>
        <w:t>2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"https://www.kingston.com/blog/pc-performance/mts-vs-mhz"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Dal</w:t>
      </w:r>
      <w:r>
        <w:rPr>
          <w:rStyle w:val="Hyperlink.2"/>
          <w:rtl w:val="0"/>
        </w:rPr>
        <w:t xml:space="preserve">ší </w:t>
      </w:r>
      <w:r>
        <w:rPr>
          <w:rStyle w:val="Hyperlink.2"/>
          <w:rtl w:val="0"/>
        </w:rPr>
        <w:t>informace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o megatransferech za sekundu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MT/s ozna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uje megatransfery (miliony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es-ES_tradnl"/>
        </w:rPr>
        <w:t>enos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) za sekundu a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edstavuje efektivn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rychlost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enosu dat pam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de-DE"/>
        </w:rPr>
        <w:t>DDR (Double Data Rate) SDRAM ve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etn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technice. Pam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ěť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modul DDR SDRAM dosahuje vy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šší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ho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konu t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m,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 k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enosu dat doch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 ka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hodinov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en-US"/>
        </w:rPr>
        <w:t>ho sign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lu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en-US"/>
        </w:rPr>
        <w:t xml:space="preserve"> (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en-US"/>
        </w:rPr>
        <w:t>clock cycle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en-US"/>
        </w:rPr>
        <w:t>)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, tedy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 jeho 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stupn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 sestupn</w:t>
      </w:r>
      <w:r>
        <w:rPr>
          <w:rStyle w:val="None"/>
          <w:rFonts w:ascii="Calibri" w:cs="Calibri" w:hAnsi="Calibri" w:eastAsia="Calibri"/>
          <w:sz w:val="16"/>
          <w:szCs w:val="16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hran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ě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</w:p>
    <w:p>
      <w:pPr>
        <w:pStyle w:val="Normal.0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klad: DDR4-3200 (PC4-3200)</w:t>
      </w:r>
    </w:p>
    <w:p>
      <w:pPr>
        <w:pStyle w:val="Normal.0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  <w:lang w:val="en-US"/>
        </w:rPr>
        <w:t>Clock Rate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: 1600 MHz</w:t>
      </w:r>
    </w:p>
    <w:p>
      <w:pPr>
        <w:pStyle w:val="Normal.0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Rychlost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enosu dat: 3200 MT/s</w:t>
      </w:r>
    </w:p>
    <w:p>
      <w:pPr>
        <w:pStyle w:val="Normal.0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Šíř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ka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sma: 25.600 MB/s (25,6 GB/s)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Informace 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nosti Kingston m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ůž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ete naj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t zde: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"http://www.youtube.com/kingstontechmemory"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  <w:lang w:val="en-US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"https://www.instagram.com/kingstontechnology"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  <w:lang w:val="da-DK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"http://www.facebook.com/kingstontechnologyeurope"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  <w:lang w:val="nl-NL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"http://www.linkedin.com/company/kingston"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  <w:lang w:val="nl-NL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"https://twitter.com/KingstonTech"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  <w:lang w:val="en-US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"https://www.kingston.com/unitedkingdom/en/landing/kingston-is-with-you"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cs="Arial Unicode MS" w:eastAsia="Arial Unicode MS"/>
          <w:rtl w:val="0"/>
          <w:lang w:val="en-US"/>
        </w:rPr>
        <w:t>Kingston Is With You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 xml:space="preserve">nosti Kingston 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Technology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 Europe Co LLP.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 xml:space="preserve">Kingston </w:t>
      </w:r>
      <w:r>
        <w:rPr>
          <w:rStyle w:val="None"/>
          <w:rFonts w:ascii="Calibri" w:cs="Calibri" w:hAnsi="Calibri" w:eastAsia="Calibri"/>
          <w:u w:color="000000"/>
          <w:rtl w:val="0"/>
        </w:rPr>
        <w:t>Technology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Europe Co LLP a Kingston Technology Company, Inc., jsou sou</w:t>
      </w:r>
      <w:r>
        <w:rPr>
          <w:rStyle w:val="None"/>
          <w:rFonts w:ascii="Calibri" w:cs="Calibri" w:hAnsi="Calibri" w:eastAsia="Calibri"/>
          <w:u w:color="000000"/>
          <w:rtl w:val="0"/>
        </w:rPr>
        <w:t>čá</w:t>
      </w:r>
      <w:r>
        <w:rPr>
          <w:rStyle w:val="None"/>
          <w:rFonts w:ascii="Calibri" w:cs="Calibri" w:hAnsi="Calibri" w:eastAsia="Calibri"/>
          <w:u w:color="000000"/>
          <w:rtl w:val="0"/>
        </w:rPr>
        <w:t>st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stejn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korpor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tn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skupiny (</w:t>
      </w:r>
      <w:r>
        <w:rPr>
          <w:rStyle w:val="None"/>
          <w:rFonts w:ascii="Calibri" w:cs="Calibri" w:hAnsi="Calibri" w:eastAsia="Calibri"/>
          <w:u w:color="000000"/>
          <w:rtl w:val="0"/>
        </w:rPr>
        <w:t>„</w:t>
      </w:r>
      <w:r>
        <w:rPr>
          <w:rStyle w:val="None"/>
          <w:rFonts w:ascii="Calibri" w:cs="Calibri" w:hAnsi="Calibri" w:eastAsia="Calibri"/>
          <w:u w:color="000000"/>
          <w:rtl w:val="0"/>
        </w:rPr>
        <w:t>Kingston</w:t>
      </w:r>
      <w:r>
        <w:rPr>
          <w:rStyle w:val="None"/>
          <w:rFonts w:ascii="Calibri" w:cs="Calibri" w:hAnsi="Calibri" w:eastAsia="Calibri"/>
          <w:u w:color="000000"/>
          <w:rtl w:val="0"/>
        </w:rPr>
        <w:t>“</w:t>
      </w:r>
      <w:r>
        <w:rPr>
          <w:rStyle w:val="None"/>
          <w:rFonts w:ascii="Calibri" w:cs="Calibri" w:hAnsi="Calibri" w:eastAsia="Calibri"/>
          <w:u w:color="000000"/>
          <w:rtl w:val="0"/>
        </w:rPr>
        <w:t>). Kingston je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nez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visl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robce pam</w:t>
      </w:r>
      <w:r>
        <w:rPr>
          <w:rStyle w:val="None"/>
          <w:rFonts w:ascii="Calibri" w:cs="Calibri" w:hAnsi="Calibri" w:eastAsia="Calibri"/>
          <w:u w:color="000000"/>
          <w:rtl w:val="0"/>
        </w:rPr>
        <w:t>ěť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>ch produkt</w:t>
      </w:r>
      <w:r>
        <w:rPr>
          <w:rStyle w:val="None"/>
          <w:rFonts w:ascii="Calibri" w:cs="Calibri" w:hAnsi="Calibri" w:eastAsia="Calibri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.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nal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zt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pou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  <w:lang w:val="nl-NL"/>
        </w:rPr>
        <w:t>van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v b</w:t>
      </w:r>
      <w:r>
        <w:rPr>
          <w:rStyle w:val="None"/>
          <w:rFonts w:ascii="Calibri" w:cs="Calibri" w:hAnsi="Calibri" w:eastAsia="Calibri"/>
          <w:u w:color="000000"/>
          <w:rtl w:val="0"/>
        </w:rPr>
        <w:t>ěž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 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ivot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k pr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ci i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bav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>od notebook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stoln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čů </w:t>
      </w:r>
      <w:r>
        <w:rPr>
          <w:rStyle w:val="None"/>
          <w:rFonts w:ascii="Calibri" w:cs="Calibri" w:hAnsi="Calibri" w:eastAsia="Calibri"/>
          <w:u w:color="000000"/>
          <w:rtl w:val="0"/>
        </w:rPr>
        <w:t>p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es velk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data 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None"/>
          <w:rFonts w:ascii="Calibri" w:cs="Calibri" w:hAnsi="Calibri" w:eastAsia="Calibri"/>
          <w:u w:color="000000"/>
          <w:rtl w:val="0"/>
        </w:rPr>
        <w:t>po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vyu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</w:rPr>
        <w:t>vaj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IoT v chytr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i nositeln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ch, v prototypov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na m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ru.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robci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techniky a poskytovatel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cloudov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slu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eb se ve sv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m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voji spol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haj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 Kingston. 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 zaujet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pro 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 posouv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technologie, kter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s prov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zej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ka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d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den. Nevyr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me jenom produkty, ale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me naplnit o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ek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>ich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kazn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vytv</w:t>
      </w:r>
      <w:r>
        <w:rPr>
          <w:rStyle w:val="None"/>
          <w:rFonts w:ascii="Calibri" w:cs="Calibri" w:hAnsi="Calibri" w:eastAsia="Calibri"/>
          <w:u w:color="000000"/>
          <w:rtl w:val="0"/>
        </w:rPr>
        <w:t>áří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me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, kter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dok</w:t>
      </w:r>
      <w:r>
        <w:rPr>
          <w:rStyle w:val="None"/>
          <w:rFonts w:ascii="Calibri" w:cs="Calibri" w:hAnsi="Calibri" w:eastAsia="Calibri"/>
          <w:u w:color="000000"/>
          <w:rtl w:val="0"/>
        </w:rPr>
        <w:t>áž</w:t>
      </w:r>
      <w:r>
        <w:rPr>
          <w:rStyle w:val="None"/>
          <w:rFonts w:ascii="Calibri" w:cs="Calibri" w:hAnsi="Calibri" w:eastAsia="Calibri"/>
          <w:u w:color="000000"/>
          <w:rtl w:val="0"/>
        </w:rPr>
        <w:t>ou n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co zm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nit k lep</w:t>
      </w:r>
      <w:r>
        <w:rPr>
          <w:rStyle w:val="None"/>
          <w:rFonts w:ascii="Calibri" w:cs="Calibri" w:hAnsi="Calibri" w:eastAsia="Calibri"/>
          <w:u w:color="000000"/>
          <w:rtl w:val="0"/>
        </w:rPr>
        <w:t>ší</w:t>
      </w:r>
      <w:r>
        <w:rPr>
          <w:rStyle w:val="None"/>
          <w:rFonts w:ascii="Calibri" w:cs="Calibri" w:hAnsi="Calibri" w:eastAsia="Calibri"/>
          <w:u w:color="000000"/>
          <w:rtl w:val="0"/>
        </w:rPr>
        <w:t>mu. Kingston je s 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mi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 xml:space="preserve">Kingston Is With You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c o 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s najdete na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"http://www.kingston.com/?utm_source=pr"</w:instrText>
      </w:r>
      <w:r>
        <w:rPr>
          <w:rStyle w:val="Hyperlink.4"/>
        </w:rPr>
        <w:fldChar w:fldCharType="separate" w:fldLock="0"/>
      </w:r>
      <w:r>
        <w:rPr>
          <w:rStyle w:val="Hyperlink.4"/>
          <w:rFonts w:cs="Arial Unicode MS" w:eastAsia="Arial Unicode MS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>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"https://www.kingston.com/en/company/press"</w:instrText>
      </w:r>
      <w:r>
        <w:rPr>
          <w:rStyle w:val="Hyperlink.5"/>
        </w:rPr>
        <w:fldChar w:fldCharType="separate" w:fldLock="0"/>
      </w:r>
      <w:r>
        <w:rPr>
          <w:rStyle w:val="Hyperlink.5"/>
          <w:rFonts w:cs="Arial Unicode MS" w:eastAsia="Arial Unicode MS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it-IT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da-DK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"mailto:Dfowler@kingston.eu"</w:instrText>
      </w:r>
      <w:r>
        <w:rPr>
          <w:rStyle w:val="Hyperlink.6"/>
        </w:rPr>
        <w:fldChar w:fldCharType="separate" w:fldLock="0"/>
      </w:r>
      <w:r>
        <w:rPr>
          <w:rStyle w:val="Hyperlink.6"/>
          <w:rFonts w:cs="Arial Unicode MS" w:eastAsia="Arial Unicode MS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fr-FR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"mailto:jasna.sykorova@taktiq.com"</w:instrText>
      </w:r>
      <w:r>
        <w:rPr>
          <w:rStyle w:val="Hyperlink.6"/>
        </w:rPr>
        <w:fldChar w:fldCharType="separate" w:fldLock="0"/>
      </w:r>
      <w:r>
        <w:rPr>
          <w:rStyle w:val="Hyperlink.6"/>
          <w:rFonts w:cs="Arial Unicode MS" w:eastAsia="Arial Unicode MS"/>
          <w:rtl w:val="0"/>
        </w:rPr>
        <w:t>jasna.sykorova@taktiq.com</w:t>
      </w:r>
      <w:r>
        <w:rPr/>
        <w:fldChar w:fldCharType="end" w:fldLock="0"/>
      </w:r>
      <w:r/>
    </w:p>
    <w:sectPr>
      <w:headerReference w:type="default" r:id="rId6"/>
      <w:footerReference w:type="default" r:id="rId7"/>
      <w:pgSz w:w="12240" w:h="15840" w:orient="portrait"/>
      <w:pgMar w:top="1440" w:right="1183" w:bottom="1440" w:left="15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2"/>
      <w:szCs w:val="22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Hyperlink.2">
    <w:name w:val="Hyperlink.2"/>
    <w:basedOn w:val="Link"/>
    <w:next w:val="Hyperlink.2"/>
    <w:rPr>
      <w:rFonts w:ascii="Calibri" w:cs="Calibri" w:hAnsi="Calibri" w:eastAsia="Calibri"/>
      <w:sz w:val="16"/>
      <w:szCs w:val="16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u w:val="single" w:color="0000ff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563c1"/>
      <w:u w:val="single" w:color="0563c1"/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6">
    <w:name w:val="Hyperlink.6"/>
    <w:basedOn w:val="None"/>
    <w:next w:val="Hyperlink.6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