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jc w:val="center"/>
      </w:pPr>
      <w:r>
        <w:drawing>
          <wp:inline distT="0" distB="0" distL="0" distR="0">
            <wp:extent cx="1828800" cy="374016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4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rPr>
          <w:color w:val="ff0000"/>
          <w:sz w:val="18"/>
          <w:szCs w:val="18"/>
          <w:u w:color="ff0000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1196355</wp:posOffset>
            </wp:positionH>
            <wp:positionV relativeFrom="line">
              <wp:posOffset>292100</wp:posOffset>
            </wp:positionV>
            <wp:extent cx="3080989" cy="2310742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ingston XS2000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989" cy="23107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ab/>
        <w:tab/>
        <w:tab/>
        <w:tab/>
        <w:tab/>
        <w:tab/>
        <w:tab/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  <w:sz w:val="36"/>
          <w:szCs w:val="36"/>
        </w:rPr>
      </w:pP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Kingston Digital ohla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š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uje kapesn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p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ř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enosn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sz w:val="36"/>
          <w:szCs w:val="36"/>
          <w:rtl w:val="0"/>
        </w:rPr>
        <w:t>SSD disk XS2000</w:t>
      </w:r>
    </w:p>
    <w:p>
      <w:pPr>
        <w:pStyle w:val="Normal.0"/>
        <w:rPr>
          <w:rFonts w:ascii="Calibri" w:cs="Calibri" w:hAnsi="Calibri" w:eastAsia="Calibri"/>
          <w:sz w:val="20"/>
          <w:szCs w:val="20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Rychl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rozhran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USB 3.2 Gen 2x2</w:t>
      </w:r>
    </w:p>
    <w:p>
      <w:pPr>
        <w:pStyle w:val="List Paragraph"/>
        <w:numPr>
          <w:ilvl w:val="0"/>
          <w:numId w:val="2"/>
        </w:numPr>
        <w:bidi w:val="0"/>
        <w:ind w:right="0"/>
        <w:jc w:val="center"/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Vysok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i w:val="1"/>
          <w:iCs w:val="1"/>
          <w:sz w:val="28"/>
          <w:szCs w:val="28"/>
          <w:rtl w:val="0"/>
        </w:rPr>
        <w:t>kapacita a odolnost</w:t>
      </w:r>
    </w:p>
    <w:p>
      <w:pPr>
        <w:pStyle w:val="Normal.0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>7. 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 xml:space="preserve">áří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  <w:lang w:val="en-US"/>
        </w:rPr>
        <w:t xml:space="preserve">2021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sz w:val="22"/>
          <w:szCs w:val="22"/>
          <w:u w:color="000000"/>
          <w:rtl w:val="0"/>
        </w:rPr>
        <w:t xml:space="preserve">–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Spole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nost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"https://www.kingston.com/en"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 Digital Europe Co LLP</w:t>
      </w:r>
      <w:r>
        <w:rPr/>
        <w:fldChar w:fldCharType="end" w:fldLock="0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kter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je 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robcem flash pam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ěť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za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 pobo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n-US"/>
        </w:rPr>
        <w:t>kou Kingston Technology Company, sv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ho l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dra v oblasti pam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ěť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produkt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ů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 technologick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 xml:space="preserve">ch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dnes ozn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mila zah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jen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dod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vek kapesn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ho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enosn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fr-FR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ho SSD disku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"https://www.kingston.com/unitedstates/us/ssd/xs2000-portable-usb-c-solid-state-drive"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XS2000</w:t>
      </w:r>
      <w:r>
        <w:rPr/>
        <w:fldChar w:fldCharType="end" w:fldLock="0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kter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vyu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rychlost rozhran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í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"https://www.kingston.com/unitedkingdom/en/usb-flash-drives/usb-30"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USB 3.2 Gen 2x2</w:t>
      </w:r>
      <w:r>
        <w:rPr/>
        <w:fldChar w:fldCharType="end" w:fldLock="0"/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a sv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mi parametry p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edstavuje novou generaci kompaktn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sv-SE"/>
        </w:rPr>
        <w:t>ch extern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de-DE"/>
        </w:rPr>
        <w:t>ch disk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ů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na cesty.</w:t>
      </w:r>
    </w:p>
    <w:p>
      <w:pPr>
        <w:pStyle w:val="Normal.0"/>
        <w:spacing w:line="360" w:lineRule="auto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 xml:space="preserve">XS2000 podporuje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bleskov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rychlosti 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2 000 MB/s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>1</w:t>
      </w:r>
      <w:r>
        <w:rPr>
          <w:rFonts w:ascii="Calibri" w:cs="Calibri" w:hAnsi="Calibri" w:eastAsia="Calibri"/>
          <w:sz w:val="22"/>
          <w:szCs w:val="22"/>
          <w:rtl w:val="0"/>
        </w:rPr>
        <w:t>, aby mohli 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ivatel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produktivn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ji pracovat bez 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ek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na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enos dat. Nab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mimo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řá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dn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ý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kon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a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>kapacity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2 TB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>2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pro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áš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editaci obr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ve vysok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 rozli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, 8K vide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velk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dokument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. Disk se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ipojuje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es rozhran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USB Type-C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®</w:t>
      </w:r>
      <w:r>
        <w:rPr>
          <w:rFonts w:ascii="Calibri" w:cs="Calibri" w:hAnsi="Calibri" w:eastAsia="Calibri"/>
          <w:b w:val="1"/>
          <w:bCs w:val="1"/>
          <w:sz w:val="22"/>
          <w:szCs w:val="22"/>
          <w:vertAlign w:val="superscript"/>
          <w:rtl w:val="0"/>
        </w:rPr>
        <w:t>3</w:t>
      </w:r>
      <w:r>
        <w:rPr>
          <w:rFonts w:ascii="Calibri" w:cs="Calibri" w:hAnsi="Calibri" w:eastAsia="Calibri"/>
          <w:sz w:val="22"/>
          <w:szCs w:val="22"/>
          <w:rtl w:val="0"/>
          <w:lang w:val="it-IT"/>
        </w:rPr>
        <w:t>, co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umo</w:t>
      </w:r>
      <w:r>
        <w:rPr>
          <w:rFonts w:ascii="Calibri" w:cs="Calibri" w:hAnsi="Calibri" w:eastAsia="Calibri"/>
          <w:sz w:val="22"/>
          <w:szCs w:val="22"/>
          <w:rtl w:val="0"/>
        </w:rPr>
        <w:t>žň</w:t>
      </w:r>
      <w:r>
        <w:rPr>
          <w:rFonts w:ascii="Calibri" w:cs="Calibri" w:hAnsi="Calibri" w:eastAsia="Calibri"/>
          <w:sz w:val="22"/>
          <w:szCs w:val="22"/>
          <w:rtl w:val="0"/>
        </w:rPr>
        <w:t>uje snadno zpracov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vat soubory na libovoln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 po</w:t>
      </w:r>
      <w:r>
        <w:rPr>
          <w:rFonts w:ascii="Calibri" w:cs="Calibri" w:hAnsi="Calibri" w:eastAsia="Calibri"/>
          <w:sz w:val="22"/>
          <w:szCs w:val="22"/>
          <w:rtl w:val="0"/>
        </w:rPr>
        <w:t>čí</w:t>
      </w:r>
      <w:r>
        <w:rPr>
          <w:rFonts w:ascii="Calibri" w:cs="Calibri" w:hAnsi="Calibri" w:eastAsia="Calibri"/>
          <w:sz w:val="22"/>
          <w:szCs w:val="22"/>
          <w:rtl w:val="0"/>
        </w:rPr>
        <w:t>ta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i nebo mobiln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za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zen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. XS2000 m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ve srovn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typick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m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enosn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SSD diskem pouze polovi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velikost, odol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vod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sz w:val="22"/>
          <w:szCs w:val="22"/>
          <w:rtl w:val="0"/>
        </w:rPr>
        <w:t>a prachu 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 xml:space="preserve">do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stupn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ě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kryt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IP55</w:t>
      </w:r>
      <w:r>
        <w:rPr>
          <w:rFonts w:ascii="Calibri" w:cs="Calibri" w:hAnsi="Calibri" w:eastAsia="Calibri"/>
          <w:b w:val="1"/>
          <w:bCs w:val="1"/>
          <w:sz w:val="22"/>
          <w:szCs w:val="22"/>
          <w:vertAlign w:val="superscript"/>
          <w:rtl w:val="0"/>
        </w:rPr>
        <w:t>4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a je dod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 s odn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mateln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ochrann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m pouzdrem, tak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 je ide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 spole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kem, kdy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vyr</w:t>
      </w:r>
      <w:r>
        <w:rPr>
          <w:rFonts w:ascii="Calibri" w:cs="Calibri" w:hAnsi="Calibri" w:eastAsia="Calibri"/>
          <w:sz w:val="22"/>
          <w:szCs w:val="22"/>
          <w:rtl w:val="0"/>
        </w:rPr>
        <w:t>áží</w:t>
      </w:r>
      <w:r>
        <w:rPr>
          <w:rFonts w:ascii="Calibri" w:cs="Calibri" w:hAnsi="Calibri" w:eastAsia="Calibri"/>
          <w:sz w:val="22"/>
          <w:szCs w:val="22"/>
          <w:rtl w:val="0"/>
        </w:rPr>
        <w:t>te ven za prac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nebo 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bavou.</w:t>
      </w:r>
    </w:p>
    <w:p>
      <w:pPr>
        <w:pStyle w:val="Normal.0"/>
        <w:spacing w:line="360" w:lineRule="auto"/>
        <w:ind w:firstLine="72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XS2000 byl zkonstruov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c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lem dos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hnout optim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kombinace vysok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ho v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konu, kapacity a mobility, kter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udr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ží </w:t>
      </w:r>
      <w:r>
        <w:rPr>
          <w:rFonts w:ascii="Calibri" w:cs="Calibri" w:hAnsi="Calibri" w:eastAsia="Calibri"/>
          <w:sz w:val="22"/>
          <w:szCs w:val="22"/>
          <w:rtl w:val="0"/>
        </w:rPr>
        <w:t>krok s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aktu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mi po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adavky u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ivatel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,</w:t>
      </w:r>
      <w:r>
        <w:rPr>
          <w:rFonts w:ascii="Calibri" w:cs="Calibri" w:hAnsi="Calibri" w:eastAsia="Calibri"/>
          <w:sz w:val="22"/>
          <w:szCs w:val="22"/>
          <w:rtl w:val="0"/>
        </w:rPr>
        <w:t>“ ř</w:t>
      </w:r>
      <w:r>
        <w:rPr>
          <w:rFonts w:ascii="Calibri" w:cs="Calibri" w:hAnsi="Calibri" w:eastAsia="Calibri"/>
          <w:sz w:val="22"/>
          <w:szCs w:val="22"/>
          <w:rtl w:val="0"/>
        </w:rPr>
        <w:t>ekl Tony Hollingsbee, obchodn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mana</w:t>
      </w:r>
      <w:r>
        <w:rPr>
          <w:rFonts w:ascii="Calibri" w:cs="Calibri" w:hAnsi="Calibri" w:eastAsia="Calibri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sz w:val="22"/>
          <w:szCs w:val="22"/>
          <w:rtl w:val="0"/>
        </w:rPr>
        <w:t>er pro SSD produkty Kingston 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regionu EMEA. </w:t>
      </w:r>
      <w:r>
        <w:rPr>
          <w:rFonts w:ascii="Calibri" w:cs="Calibri" w:hAnsi="Calibri" w:eastAsia="Calibri"/>
          <w:sz w:val="22"/>
          <w:szCs w:val="22"/>
          <w:rtl w:val="0"/>
        </w:rPr>
        <w:t>„</w:t>
      </w:r>
      <w:r>
        <w:rPr>
          <w:rFonts w:ascii="Calibri" w:cs="Calibri" w:hAnsi="Calibri" w:eastAsia="Calibri"/>
          <w:sz w:val="22"/>
          <w:szCs w:val="22"/>
          <w:rtl w:val="0"/>
        </w:rPr>
        <w:t>D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ky velikosti p</w:t>
      </w:r>
      <w:r>
        <w:rPr>
          <w:rFonts w:ascii="Calibri" w:cs="Calibri" w:hAnsi="Calibri" w:eastAsia="Calibri"/>
          <w:sz w:val="22"/>
          <w:szCs w:val="22"/>
          <w:rtl w:val="0"/>
        </w:rPr>
        <w:t>ří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sku na kl</w:t>
      </w:r>
      <w:r>
        <w:rPr>
          <w:rFonts w:ascii="Calibri" w:cs="Calibri" w:hAnsi="Calibri" w:eastAsia="Calibri"/>
          <w:sz w:val="22"/>
          <w:szCs w:val="22"/>
          <w:rtl w:val="0"/>
        </w:rPr>
        <w:t>íč</w:t>
      </w:r>
      <w:r>
        <w:rPr>
          <w:rFonts w:ascii="Calibri" w:cs="Calibri" w:hAnsi="Calibri" w:eastAsia="Calibri"/>
          <w:sz w:val="22"/>
          <w:szCs w:val="22"/>
          <w:rtl w:val="0"/>
        </w:rPr>
        <w:t>e a zv</w:t>
      </w:r>
      <w:r>
        <w:rPr>
          <w:rFonts w:ascii="Calibri" w:cs="Calibri" w:hAnsi="Calibri" w:eastAsia="Calibri"/>
          <w:sz w:val="22"/>
          <w:szCs w:val="22"/>
          <w:rtl w:val="0"/>
        </w:rPr>
        <w:t>ýš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odolnosti je tento disk ide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tak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sz w:val="22"/>
          <w:szCs w:val="22"/>
          <w:rtl w:val="0"/>
        </w:rPr>
        <w:t>pro zaji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t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pt-PT"/>
        </w:rPr>
        <w:t>maxim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produktivity v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ech amat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rsk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i profesion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ln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sv-SE"/>
        </w:rPr>
        <w:t>ch tv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rc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obsahu, firemn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specialist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nebo v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deck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pracovn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k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, kte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ří </w:t>
      </w:r>
      <w:r>
        <w:rPr>
          <w:rFonts w:ascii="Calibri" w:cs="Calibri" w:hAnsi="Calibri" w:eastAsia="Calibri"/>
          <w:sz w:val="22"/>
          <w:szCs w:val="22"/>
          <w:rtl w:val="0"/>
        </w:rPr>
        <w:t>se p</w:t>
      </w:r>
      <w:r>
        <w:rPr>
          <w:rFonts w:ascii="Calibri" w:cs="Calibri" w:hAnsi="Calibri" w:eastAsia="Calibri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sz w:val="22"/>
          <w:szCs w:val="22"/>
          <w:rtl w:val="0"/>
        </w:rPr>
        <w:t>i pr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ci pohybuj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v</w:t>
      </w:r>
      <w:r>
        <w:rPr>
          <w:rFonts w:ascii="Calibri" w:cs="Calibri" w:hAnsi="Calibri" w:eastAsia="Calibri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ro</w:t>
      </w:r>
      <w:r>
        <w:rPr>
          <w:rFonts w:ascii="Calibri" w:cs="Calibri" w:hAnsi="Calibri" w:eastAsia="Calibri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venkovn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ch podm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</w:rPr>
        <w:t>nk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ch.</w:t>
      </w:r>
      <w:r>
        <w:rPr>
          <w:rFonts w:ascii="Calibri" w:cs="Calibri" w:hAnsi="Calibri" w:eastAsia="Calibri"/>
          <w:sz w:val="22"/>
          <w:szCs w:val="22"/>
          <w:rtl w:val="0"/>
        </w:rPr>
        <w:t>“</w:t>
      </w:r>
    </w:p>
    <w:p>
      <w:pPr>
        <w:pStyle w:val="Normal.0"/>
        <w:spacing w:line="360" w:lineRule="auto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>Disk XS2000 je k dispozici v kapacit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en-US"/>
        </w:rPr>
        <w:t>ch 500 GB 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2 TB a vztahuje se na n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j omezen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p</w:t>
      </w:r>
      <w:r>
        <w:rPr>
          <w:rFonts w:ascii="Calibri" w:cs="Calibri" w:hAnsi="Calibri" w:eastAsia="Calibri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sz w:val="22"/>
          <w:szCs w:val="22"/>
          <w:rtl w:val="0"/>
        </w:rPr>
        <w:t>tilet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ruka s bezplatnou technickou podporou. V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ce informac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najdete na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"https://www.kingston.com/?utm_source=pr"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kingston.com</w:t>
      </w:r>
      <w:r>
        <w:rPr/>
        <w:fldChar w:fldCharType="end" w:fldLock="0"/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Normal.0"/>
        <w:spacing w:line="360" w:lineRule="auto"/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b w:val="1"/>
          <w:bCs w:val="1"/>
          <w:sz w:val="22"/>
          <w:szCs w:val="22"/>
          <w:u w:val="single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Vlastnosti a parametry p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ř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enosn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  <w:lang w:val="fr-FR"/>
        </w:rPr>
        <w:t>é</w:t>
      </w:r>
      <w:r>
        <w:rPr>
          <w:rFonts w:ascii="Calibri" w:cs="Calibri" w:hAnsi="Calibri" w:eastAsia="Calibri"/>
          <w:b w:val="1"/>
          <w:bCs w:val="1"/>
          <w:sz w:val="22"/>
          <w:szCs w:val="22"/>
          <w:u w:val="single"/>
          <w:rtl w:val="0"/>
        </w:rPr>
        <w:t>ho SSD disku XS2000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konn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rozhran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USB 3.2 Gen 2x2: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pi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kov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rychlosti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č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/z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pisu a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2 000MB/s</w:t>
      </w:r>
      <w:r>
        <w:rPr>
          <w:rFonts w:ascii="Calibri" w:cs="Calibri" w:hAnsi="Calibri" w:eastAsia="Calibri"/>
          <w:b w:val="0"/>
          <w:bCs w:val="0"/>
          <w:sz w:val="22"/>
          <w:szCs w:val="22"/>
          <w:vertAlign w:val="superscript"/>
          <w:rtl w:val="0"/>
        </w:rPr>
        <w:t>1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Vysok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kapacita: </w:t>
      </w:r>
      <w:r>
        <w:rPr>
          <w:rFonts w:ascii="Calibri" w:cs="Calibri" w:hAnsi="Calibri" w:eastAsia="Calibri"/>
          <w:sz w:val="22"/>
          <w:szCs w:val="22"/>
          <w:rtl w:val="0"/>
        </w:rPr>
        <w:t>A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sz w:val="22"/>
          <w:szCs w:val="22"/>
          <w:rtl w:val="0"/>
        </w:rPr>
        <w:t>2 TB</w:t>
      </w:r>
      <w:r>
        <w:rPr>
          <w:rFonts w:ascii="Calibri" w:cs="Calibri" w:hAnsi="Calibri" w:eastAsia="Calibri"/>
          <w:sz w:val="22"/>
          <w:szCs w:val="22"/>
          <w:vertAlign w:val="superscript"/>
          <w:rtl w:val="0"/>
        </w:rPr>
        <w:t>2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 pro uchov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  <w:lang w:val="es-ES_tradnl"/>
        </w:rPr>
        <w:t>obr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zk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ů </w:t>
      </w:r>
      <w:r>
        <w:rPr>
          <w:rFonts w:ascii="Calibri" w:cs="Calibri" w:hAnsi="Calibri" w:eastAsia="Calibri"/>
          <w:sz w:val="22"/>
          <w:szCs w:val="22"/>
          <w:rtl w:val="0"/>
        </w:rPr>
        <w:t>ve vysok</w:t>
      </w:r>
      <w:r>
        <w:rPr>
          <w:rFonts w:ascii="Calibri" w:cs="Calibri" w:hAnsi="Calibri" w:eastAsia="Calibri"/>
          <w:sz w:val="22"/>
          <w:szCs w:val="22"/>
          <w:rtl w:val="0"/>
          <w:lang w:val="fr-FR"/>
        </w:rPr>
        <w:t>é</w:t>
      </w:r>
      <w:r>
        <w:rPr>
          <w:rFonts w:ascii="Calibri" w:cs="Calibri" w:hAnsi="Calibri" w:eastAsia="Calibri"/>
          <w:sz w:val="22"/>
          <w:szCs w:val="22"/>
          <w:rtl w:val="0"/>
        </w:rPr>
        <w:t>m rozli</w:t>
      </w:r>
      <w:r>
        <w:rPr>
          <w:rFonts w:ascii="Calibri" w:cs="Calibri" w:hAnsi="Calibri" w:eastAsia="Calibri"/>
          <w:sz w:val="22"/>
          <w:szCs w:val="22"/>
          <w:rtl w:val="0"/>
        </w:rPr>
        <w:t>š</w:t>
      </w:r>
      <w:r>
        <w:rPr>
          <w:rFonts w:ascii="Calibri" w:cs="Calibri" w:hAnsi="Calibri" w:eastAsia="Calibri"/>
          <w:sz w:val="22"/>
          <w:szCs w:val="22"/>
          <w:rtl w:val="0"/>
        </w:rPr>
        <w:t>en</w:t>
      </w:r>
      <w:r>
        <w:rPr>
          <w:rFonts w:ascii="Calibri" w:cs="Calibri" w:hAnsi="Calibri" w:eastAsia="Calibri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sz w:val="22"/>
          <w:szCs w:val="22"/>
          <w:rtl w:val="0"/>
          <w:lang w:val="nl-NL"/>
        </w:rPr>
        <w:t>, 8K vide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sz w:val="22"/>
          <w:szCs w:val="22"/>
          <w:rtl w:val="0"/>
        </w:rPr>
        <w:t>a rozs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  <w:lang w:val="de-DE"/>
        </w:rPr>
        <w:t>hl</w:t>
      </w:r>
      <w:r>
        <w:rPr>
          <w:rFonts w:ascii="Calibri" w:cs="Calibri" w:hAnsi="Calibri" w:eastAsia="Calibri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sz w:val="22"/>
          <w:szCs w:val="22"/>
          <w:rtl w:val="0"/>
        </w:rPr>
        <w:t>ch dokument</w:t>
      </w:r>
      <w:r>
        <w:rPr>
          <w:rFonts w:ascii="Calibri" w:cs="Calibri" w:hAnsi="Calibri" w:eastAsia="Calibri"/>
          <w:sz w:val="22"/>
          <w:szCs w:val="22"/>
          <w:rtl w:val="0"/>
        </w:rPr>
        <w:t>ů</w:t>
      </w:r>
      <w:r>
        <w:rPr>
          <w:rFonts w:ascii="Calibri" w:cs="Calibri" w:hAnsi="Calibri" w:eastAsia="Calibri"/>
          <w:sz w:val="22"/>
          <w:szCs w:val="22"/>
          <w:rtl w:val="0"/>
        </w:rPr>
        <w:t>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Odoln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konstrukce: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Testov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n na odolnost</w:t>
      </w:r>
      <w:r>
        <w:rPr>
          <w:rFonts w:ascii="Calibri" w:cs="Calibri" w:hAnsi="Calibri" w:eastAsia="Calibri"/>
          <w:b w:val="0"/>
          <w:bCs w:val="0"/>
          <w:sz w:val="22"/>
          <w:szCs w:val="22"/>
          <w:vertAlign w:val="superscript"/>
          <w:rtl w:val="0"/>
        </w:rPr>
        <w:t>4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proti vod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, prachu a 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razu s dod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nl-NL"/>
        </w:rPr>
        <w:t>van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m pry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ž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ov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ý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m 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vlekem.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ř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enositelnost a kapesn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velikost: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Mal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rozm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ry a 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zk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hmotnost pro snadn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fr-FR"/>
        </w:rPr>
        <w:t xml:space="preserve">é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ukl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d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dat na cest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ch.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Rozhran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í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: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USB 3.2 Gen 2x2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Rychlost</w:t>
      </w:r>
      <w:r>
        <w:rPr>
          <w:rFonts w:ascii="Calibri" w:cs="Calibri" w:hAnsi="Calibri" w:eastAsia="Calibri"/>
          <w:b w:val="1"/>
          <w:bCs w:val="1"/>
          <w:sz w:val="22"/>
          <w:szCs w:val="22"/>
          <w:vertAlign w:val="superscript"/>
          <w:rtl w:val="0"/>
        </w:rPr>
        <w:t>1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: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 Č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ten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a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2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de-DE"/>
        </w:rPr>
        <w:t>000 MB/s, z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fr-FR"/>
        </w:rPr>
        <w:t>pis a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ž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2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 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000MB/s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Kapacity</w:t>
      </w:r>
      <w:r>
        <w:rPr>
          <w:rFonts w:ascii="Calibri" w:cs="Calibri" w:hAnsi="Calibri" w:eastAsia="Calibri"/>
          <w:b w:val="1"/>
          <w:bCs w:val="1"/>
          <w:sz w:val="22"/>
          <w:szCs w:val="22"/>
          <w:vertAlign w:val="superscript"/>
          <w:rtl w:val="0"/>
        </w:rPr>
        <w:t>2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: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500 GB, 1 TB, 2 TB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Rozm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ě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en-US"/>
        </w:rPr>
        <w:t xml:space="preserve">ry: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69,54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×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32,58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×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it-IT"/>
        </w:rPr>
        <w:t>13,5 mm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Hmotnost: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28,9 g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de-DE"/>
        </w:rPr>
        <w:t>Materi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l pouzdra: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Kov a plast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Provozn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teplota: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0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–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40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it-IT"/>
        </w:rPr>
        <w:t>°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C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Skladovac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teplota: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−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20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–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85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it-IT"/>
        </w:rPr>
        <w:t>°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C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Z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>ruka/podpora</w:t>
      </w:r>
      <w:r>
        <w:rPr>
          <w:rFonts w:ascii="Calibri" w:cs="Calibri" w:hAnsi="Calibri" w:eastAsia="Calibri"/>
          <w:b w:val="1"/>
          <w:bCs w:val="1"/>
          <w:sz w:val="22"/>
          <w:szCs w:val="22"/>
          <w:vertAlign w:val="superscript"/>
          <w:rtl w:val="0"/>
        </w:rPr>
        <w:t>5</w:t>
      </w:r>
      <w:r>
        <w:rPr>
          <w:rFonts w:ascii="Calibri" w:cs="Calibri" w:hAnsi="Calibri" w:eastAsia="Calibri"/>
          <w:b w:val="1"/>
          <w:bCs w:val="1"/>
          <w:sz w:val="22"/>
          <w:szCs w:val="22"/>
          <w:rtl w:val="0"/>
        </w:rPr>
        <w:t xml:space="preserve">: </w:t>
      </w:r>
      <w:r>
        <w:rPr>
          <w:rFonts w:ascii="Calibri" w:cs="Calibri" w:hAnsi="Calibri" w:eastAsia="Calibri"/>
          <w:sz w:val="22"/>
          <w:szCs w:val="22"/>
          <w:rtl w:val="0"/>
        </w:rPr>
        <w:t>Omezen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5let</w:t>
      </w:r>
      <w:r>
        <w:rPr>
          <w:rFonts w:ascii="Calibri" w:cs="Calibri" w:hAnsi="Calibri" w:eastAsia="Calibri"/>
          <w:sz w:val="22"/>
          <w:szCs w:val="22"/>
          <w:rtl w:val="0"/>
        </w:rPr>
        <w:t xml:space="preserve">á </w:t>
      </w:r>
      <w:r>
        <w:rPr>
          <w:rFonts w:ascii="Calibri" w:cs="Calibri" w:hAnsi="Calibri" w:eastAsia="Calibri"/>
          <w:sz w:val="22"/>
          <w:szCs w:val="22"/>
          <w:rtl w:val="0"/>
        </w:rPr>
        <w:t>z</w:t>
      </w:r>
      <w:r>
        <w:rPr>
          <w:rFonts w:ascii="Calibri" w:cs="Calibri" w:hAnsi="Calibri" w:eastAsia="Calibri"/>
          <w:sz w:val="22"/>
          <w:szCs w:val="22"/>
          <w:rtl w:val="0"/>
        </w:rPr>
        <w:t>á</w:t>
      </w:r>
      <w:r>
        <w:rPr>
          <w:rFonts w:ascii="Calibri" w:cs="Calibri" w:hAnsi="Calibri" w:eastAsia="Calibri"/>
          <w:sz w:val="22"/>
          <w:szCs w:val="22"/>
          <w:rtl w:val="0"/>
        </w:rPr>
        <w:t>ruka s bezplatnou technickou podporou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</w:pPr>
      <w:r>
        <w:rPr>
          <w:rFonts w:ascii="Calibri" w:cs="Calibri" w:hAnsi="Calibri" w:eastAsia="Calibri"/>
          <w:b w:val="1"/>
          <w:bCs w:val="1"/>
          <w:sz w:val="22"/>
          <w:szCs w:val="22"/>
          <w:rtl w:val="0"/>
          <w:lang w:val="it-IT"/>
        </w:rPr>
        <w:t xml:space="preserve">Kompatibilita: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  <w:lang w:val="it-IT"/>
        </w:rPr>
        <w:t>Windows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 xml:space="preserve">® 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10, 8.1, Mac OS (v.10.14.x +), Linux (v. 2.6.x +), Chrome OS</w:t>
      </w:r>
      <w:r>
        <w:rPr>
          <w:rFonts w:ascii="Calibri" w:cs="Calibri" w:hAnsi="Calibri" w:eastAsia="Calibri"/>
          <w:b w:val="0"/>
          <w:bCs w:val="0"/>
          <w:sz w:val="22"/>
          <w:szCs w:val="22"/>
          <w:rtl w:val="0"/>
        </w:rPr>
        <w:t>™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tbl>
      <w:tblPr>
        <w:tblW w:w="644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32"/>
        <w:gridCol w:w="4409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64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72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Tabulka kompatibility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USB 3.2 Gen 2x2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>Windows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 xml:space="preserve">® 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10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Segoe UI Symbol" w:cs="Segoe UI Symbol" w:hAnsi="Segoe UI Symbol" w:eastAsia="Segoe UI Symbol"/>
                <w:color w:val="808080"/>
                <w:sz w:val="20"/>
                <w:szCs w:val="20"/>
                <w:u w:color="808080"/>
                <w:rtl w:val="0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>Windows 8.1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Segoe UI Symbol" w:cs="Segoe UI Symbol" w:hAnsi="Segoe UI Symbol" w:eastAsia="Segoe UI Symbol"/>
                <w:color w:val="808080"/>
                <w:sz w:val="20"/>
                <w:szCs w:val="20"/>
                <w:u w:color="808080"/>
                <w:rtl w:val="0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450" w:hRule="atLeast"/>
        </w:trPr>
        <w:tc>
          <w:tcPr>
            <w:tcW w:type="dxa" w:w="2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Mac OS (v. 10.14.x +)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Segoe UI Symbol" w:cs="Segoe UI Symbol" w:hAnsi="Segoe UI Symbol" w:eastAsia="Segoe UI Symbol"/>
                <w:color w:val="808080"/>
                <w:sz w:val="20"/>
                <w:szCs w:val="20"/>
                <w:u w:color="808080"/>
                <w:rtl w:val="0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Linux (v. 2.6.x +)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Segoe UI Symbol" w:cs="Segoe UI Symbol" w:hAnsi="Segoe UI Symbol" w:eastAsia="Segoe UI Symbol"/>
                <w:color w:val="808080"/>
                <w:sz w:val="20"/>
                <w:szCs w:val="20"/>
                <w:u w:color="808080"/>
                <w:rtl w:val="0"/>
              </w:rPr>
              <w:t>✓</w:t>
            </w:r>
          </w:p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2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Chrome OS</w:t>
            </w: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™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Segoe UI Symbol" w:cs="Segoe UI Symbol" w:hAnsi="Segoe UI Symbol" w:eastAsia="Segoe UI Symbol"/>
                <w:color w:val="808080"/>
                <w:sz w:val="20"/>
                <w:szCs w:val="20"/>
                <w:u w:color="808080"/>
                <w:rtl w:val="0"/>
              </w:rPr>
              <w:t>✓</w:t>
            </w:r>
          </w:p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spacing w:line="360" w:lineRule="auto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tbl>
      <w:tblPr>
        <w:tblW w:w="644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32"/>
        <w:gridCol w:w="4409"/>
      </w:tblGrid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644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ind w:firstLine="72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P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ř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enosn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 xml:space="preserve">ý 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disk XS2000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Ozna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en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í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Kapacita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SXS2000/500G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it-IT"/>
              </w:rPr>
              <w:t xml:space="preserve">500 GB 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SXS2000/1000G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 xml:space="preserve">1 TB </w:t>
            </w:r>
          </w:p>
        </w:tc>
      </w:tr>
      <w:tr>
        <w:tblPrEx>
          <w:shd w:val="clear" w:color="auto" w:fill="ced7e7"/>
        </w:tblPrEx>
        <w:trPr>
          <w:trHeight w:val="230" w:hRule="atLeast"/>
        </w:trPr>
        <w:tc>
          <w:tcPr>
            <w:tcW w:type="dxa" w:w="20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160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</w:rPr>
              <w:t>SXS2000/2000G</w:t>
            </w:r>
          </w:p>
        </w:tc>
        <w:tc>
          <w:tcPr>
            <w:tcW w:type="dxa" w:w="44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Calibri" w:cs="Calibri" w:hAnsi="Calibri" w:eastAsia="Calibri"/>
                <w:sz w:val="20"/>
                <w:szCs w:val="20"/>
                <w:rtl w:val="0"/>
                <w:lang w:val="en-US"/>
              </w:rPr>
              <w:t xml:space="preserve">2 TB </w:t>
            </w:r>
          </w:p>
        </w:tc>
      </w:tr>
    </w:tbl>
    <w:p>
      <w:pPr>
        <w:pStyle w:val="Normal.0"/>
        <w:widowControl w:val="0"/>
        <w:jc w:val="center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tabs>
          <w:tab w:val="left" w:pos="2241"/>
        </w:tabs>
        <w:spacing w:line="360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color w:val="808080"/>
          <w:sz w:val="16"/>
          <w:szCs w:val="16"/>
          <w:u w:color="808080"/>
        </w:rPr>
      </w:pPr>
      <w:r>
        <w:rPr>
          <w:rFonts w:ascii="Calibri" w:cs="Calibri" w:hAnsi="Calibri" w:eastAsia="Calibri"/>
          <w:color w:val="808080"/>
          <w:sz w:val="16"/>
          <w:szCs w:val="16"/>
          <w:u w:color="808080"/>
          <w:vertAlign w:val="superscript"/>
          <w:rtl w:val="0"/>
          <w:lang w:val="ru-RU"/>
        </w:rPr>
        <w:t xml:space="preserve">1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Rychlost se m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ůž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fr-FR"/>
        </w:rPr>
        <w:t>e li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it v z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vislosti na hostitelsk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fr-FR"/>
        </w:rPr>
        <w:t>é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en-US"/>
        </w:rPr>
        <w:t>m hardwaru, softwaru a pou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ž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it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í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.</w:t>
      </w:r>
    </w:p>
    <w:p>
      <w:pPr>
        <w:pStyle w:val="Normal.0"/>
        <w:rPr>
          <w:rFonts w:ascii="Calibri" w:cs="Calibri" w:hAnsi="Calibri" w:eastAsia="Calibri"/>
          <w:color w:val="808080"/>
          <w:sz w:val="16"/>
          <w:szCs w:val="16"/>
          <w:u w:color="808080"/>
        </w:rPr>
      </w:pPr>
      <w:r>
        <w:rPr>
          <w:rFonts w:ascii="Calibri" w:cs="Calibri" w:hAnsi="Calibri" w:eastAsia="Calibri"/>
          <w:color w:val="808080"/>
          <w:sz w:val="16"/>
          <w:szCs w:val="16"/>
          <w:u w:color="808080"/>
          <w:vertAlign w:val="superscript"/>
          <w:rtl w:val="0"/>
        </w:rPr>
        <w:t xml:space="preserve">2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Čá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st kapacity uveden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en-US"/>
        </w:rPr>
        <w:t>na flash pam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ěť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ov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fr-FR"/>
        </w:rPr>
        <w:t>é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m za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ří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zen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í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fr-FR"/>
        </w:rPr>
        <w:t>se pou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ží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v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á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pro form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tov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í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it-IT"/>
        </w:rPr>
        <w:t>a dal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ší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funkce, a nen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í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proto k dispozici pro ukl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d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í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dat. Skute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č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á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dostupn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á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kapacita pro ukl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d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í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dat je tedy men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ší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, ne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ž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jak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á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je uvedena na produktech. Dal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ší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informace najdete v p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ří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ru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č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en-US"/>
        </w:rPr>
        <w:t>ce Kingston Flash Memory Guide.</w:t>
      </w:r>
    </w:p>
    <w:p>
      <w:pPr>
        <w:pStyle w:val="Normal.0"/>
        <w:rPr>
          <w:rFonts w:ascii="Calibri" w:cs="Calibri" w:hAnsi="Calibri" w:eastAsia="Calibri"/>
          <w:color w:val="808080"/>
          <w:sz w:val="16"/>
          <w:szCs w:val="16"/>
          <w:u w:color="808080"/>
        </w:rPr>
      </w:pPr>
      <w:r>
        <w:rPr>
          <w:rFonts w:ascii="Calibri" w:cs="Calibri" w:hAnsi="Calibri" w:eastAsia="Calibri"/>
          <w:color w:val="808080"/>
          <w:sz w:val="16"/>
          <w:szCs w:val="16"/>
          <w:u w:color="808080"/>
          <w:vertAlign w:val="superscript"/>
          <w:rtl w:val="0"/>
        </w:rPr>
        <w:t xml:space="preserve">3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USB Type-C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®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a USB-C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®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jsou registrovan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ochrann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zn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mky USB Implementers Forum.</w:t>
      </w:r>
    </w:p>
    <w:p>
      <w:pPr>
        <w:pStyle w:val="Normal.0"/>
        <w:rPr>
          <w:rFonts w:ascii="Calibri" w:cs="Calibri" w:hAnsi="Calibri" w:eastAsia="Calibri"/>
          <w:color w:val="808080"/>
          <w:sz w:val="16"/>
          <w:szCs w:val="16"/>
          <w:u w:color="808080"/>
        </w:rPr>
      </w:pPr>
      <w:r>
        <w:rPr>
          <w:rFonts w:ascii="Calibri" w:cs="Calibri" w:hAnsi="Calibri" w:eastAsia="Calibri"/>
          <w:color w:val="808080"/>
          <w:sz w:val="16"/>
          <w:szCs w:val="16"/>
          <w:u w:color="808080"/>
          <w:vertAlign w:val="superscript"/>
          <w:rtl w:val="0"/>
        </w:rPr>
        <w:t>4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 Certifikace pro stupe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ň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kryt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í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IP55 (ochrana proti tryskaj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í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c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í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vod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ě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a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čá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ste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č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á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ochrana proti prachu) podle IEC/EN 60529. P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ř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fr-FR"/>
        </w:rPr>
        <w:t>ed pou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ž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it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í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da-DK"/>
        </w:rPr>
        <w:t>m mus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í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b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ý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t disk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č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ist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ý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en-US"/>
        </w:rPr>
        <w:t>a such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ý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.</w:t>
      </w:r>
    </w:p>
    <w:p>
      <w:pPr>
        <w:pStyle w:val="Normal.0"/>
        <w:rPr>
          <w:rFonts w:ascii="Calibri" w:cs="Calibri" w:hAnsi="Calibri" w:eastAsia="Calibri"/>
          <w:color w:val="808080"/>
          <w:sz w:val="16"/>
          <w:szCs w:val="16"/>
          <w:u w:color="808080"/>
        </w:rPr>
      </w:pPr>
      <w:r>
        <w:rPr>
          <w:rFonts w:ascii="Calibri" w:cs="Calibri" w:hAnsi="Calibri" w:eastAsia="Calibri"/>
          <w:color w:val="808080"/>
          <w:sz w:val="16"/>
          <w:szCs w:val="16"/>
          <w:u w:color="808080"/>
          <w:vertAlign w:val="superscript"/>
          <w:rtl w:val="0"/>
        </w:rPr>
        <w:t>5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 Omezen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á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z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ruka na 5 let nebo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„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zb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ý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vaj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í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c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í ž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ivotnost SSD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“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, kterou lze zjistit pomoc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í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aplikace Kingston SSD Manager. Nov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ý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nepou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ž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it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ý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v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ý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robek bude vykazovat hodnotu indik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toru opot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ř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de-DE"/>
        </w:rPr>
        <w:t>eben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í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100, zat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í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mco v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ý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robek, kter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ý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pt-PT"/>
        </w:rPr>
        <w:t>dos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hl sv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fr-FR"/>
        </w:rPr>
        <w:t xml:space="preserve">é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hrani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č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í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meze cykl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ů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programov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í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/maz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í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(P/E), vykazuje hodnotu indik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á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toru opot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ř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  <w:lang w:val="de-DE"/>
        </w:rPr>
        <w:t>eben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 xml:space="preserve">í </w:t>
      </w:r>
      <w:r>
        <w:rPr>
          <w:rFonts w:ascii="Calibri" w:cs="Calibri" w:hAnsi="Calibri" w:eastAsia="Calibri"/>
          <w:color w:val="808080"/>
          <w:sz w:val="16"/>
          <w:szCs w:val="16"/>
          <w:u w:color="808080"/>
          <w:rtl w:val="0"/>
        </w:rPr>
        <w:t>1. Podrobnosti najdete na Kingston.com/wa.</w:t>
      </w:r>
    </w:p>
    <w:p>
      <w:pPr>
        <w:pStyle w:val="Normal.0"/>
        <w:tabs>
          <w:tab w:val="left" w:pos="2241"/>
        </w:tabs>
        <w:spacing w:line="360" w:lineRule="auto"/>
        <w:rPr>
          <w:rFonts w:ascii="Calibri" w:cs="Calibri" w:hAnsi="Calibri" w:eastAsia="Calibri"/>
          <w:sz w:val="22"/>
          <w:szCs w:val="22"/>
        </w:rPr>
      </w:pPr>
    </w:p>
    <w:p>
      <w:pPr>
        <w:pStyle w:val="Default"/>
        <w:rPr>
          <w:rFonts w:ascii="Calibri" w:cs="Calibri" w:hAnsi="Calibri" w:eastAsia="Calibri"/>
          <w:u w:color="000000"/>
        </w:rPr>
      </w:pPr>
      <w:r>
        <w:rPr>
          <w:rFonts w:ascii="Calibri" w:cs="Calibri" w:hAnsi="Calibri" w:eastAsia="Calibri"/>
          <w:b w:val="1"/>
          <w:bCs w:val="1"/>
          <w:u w:color="000000"/>
          <w:rtl w:val="0"/>
        </w:rPr>
        <w:t>Informace o spole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nosti Kingston m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ůž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ete naj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u w:color="000000"/>
          <w:rtl w:val="0"/>
        </w:rPr>
        <w:t>t zde:</w:t>
      </w:r>
      <w:r>
        <w:rPr>
          <w:rFonts w:ascii="Calibri" w:cs="Calibri" w:hAnsi="Calibri" w:eastAsia="Calibri"/>
          <w:u w:color="000000"/>
          <w:rtl w:val="0"/>
        </w:rPr>
        <w:t xml:space="preserve"> </w:t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"http://www.youtube.com/kingstontechmemory"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YouTube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  <w:tab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"https://www.instagram.com/kingstontechnology"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da-DK"/>
        </w:rPr>
        <w:t>Instagram</w:t>
      </w:r>
      <w:r>
        <w:rPr/>
        <w:fldChar w:fldCharType="end" w:fldLock="0"/>
      </w:r>
    </w:p>
    <w:p>
      <w:pPr>
        <w:pStyle w:val="Default"/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"http://www.facebook.com/kingstontechnologyeurope"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Facebook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  <w:tab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"http://www.linkedin.com/company/kingston"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LinkedIn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"https://twitter.com/KingstonTech"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Twitter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 </w:t>
      </w:r>
      <w:r>
        <w:rPr>
          <w:rStyle w:val="None"/>
          <w:rFonts w:ascii="Times New Roman" w:cs="Times New Roman" w:hAnsi="Times New Roman" w:eastAsia="Times New Roman"/>
          <w:sz w:val="24"/>
          <w:szCs w:val="24"/>
          <w:u w:color="000000"/>
        </w:rPr>
        <w:tab/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"https://www.kingston.com/unitedkingdom/en/landing/kingston-is-with-you"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Kingston Is With You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b w:val="1"/>
          <w:bCs w:val="1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O spole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u w:color="000000"/>
          <w:rtl w:val="0"/>
        </w:rPr>
        <w:t>nosti Kingston Digital Europe Co LLP.</w:t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Kingston Digital Europe Co LLP a Kingston Technology Company, Inc., jsou sou</w:t>
      </w:r>
      <w:r>
        <w:rPr>
          <w:rStyle w:val="None"/>
          <w:rFonts w:ascii="Calibri" w:cs="Calibri" w:hAnsi="Calibri" w:eastAsia="Calibri"/>
          <w:u w:color="000000"/>
          <w:rtl w:val="0"/>
        </w:rPr>
        <w:t>čá</w:t>
      </w:r>
      <w:r>
        <w:rPr>
          <w:rStyle w:val="None"/>
          <w:rFonts w:ascii="Calibri" w:cs="Calibri" w:hAnsi="Calibri" w:eastAsia="Calibri"/>
          <w:u w:color="000000"/>
          <w:rtl w:val="0"/>
        </w:rPr>
        <w:t>st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stejn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korpor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tn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skupiny (</w:t>
      </w:r>
      <w:r>
        <w:rPr>
          <w:rStyle w:val="None"/>
          <w:rFonts w:ascii="Calibri" w:cs="Calibri" w:hAnsi="Calibri" w:eastAsia="Calibri"/>
          <w:u w:color="000000"/>
          <w:rtl w:val="0"/>
        </w:rPr>
        <w:t>„</w:t>
      </w:r>
      <w:r>
        <w:rPr>
          <w:rStyle w:val="None"/>
          <w:rFonts w:ascii="Calibri" w:cs="Calibri" w:hAnsi="Calibri" w:eastAsia="Calibri"/>
          <w:u w:color="000000"/>
          <w:rtl w:val="0"/>
        </w:rPr>
        <w:t>Kingston</w:t>
      </w:r>
      <w:r>
        <w:rPr>
          <w:rStyle w:val="None"/>
          <w:rFonts w:ascii="Calibri" w:cs="Calibri" w:hAnsi="Calibri" w:eastAsia="Calibri"/>
          <w:u w:color="000000"/>
          <w:rtl w:val="0"/>
        </w:rPr>
        <w:t>“</w:t>
      </w:r>
      <w:r>
        <w:rPr>
          <w:rStyle w:val="None"/>
          <w:rFonts w:ascii="Calibri" w:cs="Calibri" w:hAnsi="Calibri" w:eastAsia="Calibri"/>
          <w:u w:color="000000"/>
          <w:rtl w:val="0"/>
        </w:rPr>
        <w:t>). Kingston je nejv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u w:color="000000"/>
          <w:rtl w:val="0"/>
        </w:rPr>
        <w:t>sv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tov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u w:color="000000"/>
          <w:rtl w:val="0"/>
        </w:rPr>
        <w:t>nez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visl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robce pam</w:t>
      </w:r>
      <w:r>
        <w:rPr>
          <w:rStyle w:val="None"/>
          <w:rFonts w:ascii="Calibri" w:cs="Calibri" w:hAnsi="Calibri" w:eastAsia="Calibri"/>
          <w:u w:color="000000"/>
          <w:rtl w:val="0"/>
        </w:rPr>
        <w:t>ěť</w:t>
      </w:r>
      <w:r>
        <w:rPr>
          <w:rStyle w:val="None"/>
          <w:rFonts w:ascii="Calibri" w:cs="Calibri" w:hAnsi="Calibri" w:eastAsia="Calibri"/>
          <w:u w:color="000000"/>
          <w:rtl w:val="0"/>
        </w:rPr>
        <w:t>ov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ch produkt</w:t>
      </w:r>
      <w:r>
        <w:rPr>
          <w:rStyle w:val="None"/>
          <w:rFonts w:ascii="Calibri" w:cs="Calibri" w:hAnsi="Calibri" w:eastAsia="Calibri"/>
          <w:u w:color="000000"/>
          <w:rtl w:val="0"/>
        </w:rPr>
        <w:t>ů</w:t>
      </w:r>
      <w:r>
        <w:rPr>
          <w:rStyle w:val="None"/>
          <w:rFonts w:ascii="Calibri" w:cs="Calibri" w:hAnsi="Calibri" w:eastAsia="Calibri"/>
          <w:u w:color="000000"/>
          <w:rtl w:val="0"/>
          <w:lang w:val="it-IT"/>
        </w:rPr>
        <w:t>. Pom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h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nal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zt </w:t>
      </w:r>
      <w:r>
        <w:rPr>
          <w:rStyle w:val="None"/>
          <w:rFonts w:ascii="Calibri" w:cs="Calibri" w:hAnsi="Calibri" w:eastAsia="Calibri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u w:color="000000"/>
          <w:rtl w:val="0"/>
        </w:rPr>
        <w:t>e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</w:rPr>
        <w:t>en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pou</w:t>
      </w:r>
      <w:r>
        <w:rPr>
          <w:rStyle w:val="None"/>
          <w:rFonts w:ascii="Calibri" w:cs="Calibri" w:hAnsi="Calibri" w:eastAsia="Calibri"/>
          <w:u w:color="000000"/>
          <w:rtl w:val="0"/>
        </w:rPr>
        <w:t>ží</w:t>
      </w:r>
      <w:r>
        <w:rPr>
          <w:rStyle w:val="None"/>
          <w:rFonts w:ascii="Calibri" w:cs="Calibri" w:hAnsi="Calibri" w:eastAsia="Calibri"/>
          <w:u w:color="000000"/>
          <w:rtl w:val="0"/>
          <w:lang w:val="nl-NL"/>
        </w:rPr>
        <w:t>van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v b</w:t>
      </w:r>
      <w:r>
        <w:rPr>
          <w:rStyle w:val="None"/>
          <w:rFonts w:ascii="Calibri" w:cs="Calibri" w:hAnsi="Calibri" w:eastAsia="Calibri"/>
          <w:u w:color="000000"/>
          <w:rtl w:val="0"/>
        </w:rPr>
        <w:t>ěž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m </w:t>
      </w:r>
      <w:r>
        <w:rPr>
          <w:rStyle w:val="None"/>
          <w:rFonts w:ascii="Calibri" w:cs="Calibri" w:hAnsi="Calibri" w:eastAsia="Calibri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u w:color="000000"/>
          <w:rtl w:val="0"/>
        </w:rPr>
        <w:t>ivot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u w:color="000000"/>
          <w:rtl w:val="0"/>
        </w:rPr>
        <w:t>k pr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ci i z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bav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u w:color="000000"/>
          <w:rtl w:val="0"/>
          <w:lang w:val="en-US"/>
        </w:rPr>
        <w:t>od notebook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ů </w:t>
      </w:r>
      <w:r>
        <w:rPr>
          <w:rStyle w:val="None"/>
          <w:rFonts w:ascii="Calibri" w:cs="Calibri" w:hAnsi="Calibri" w:eastAsia="Calibri"/>
          <w:u w:color="000000"/>
          <w:rtl w:val="0"/>
        </w:rPr>
        <w:t>a stoln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ch po</w:t>
      </w:r>
      <w:r>
        <w:rPr>
          <w:rStyle w:val="None"/>
          <w:rFonts w:ascii="Calibri" w:cs="Calibri" w:hAnsi="Calibri" w:eastAsia="Calibri"/>
          <w:u w:color="000000"/>
          <w:rtl w:val="0"/>
        </w:rPr>
        <w:t>čí</w:t>
      </w:r>
      <w:r>
        <w:rPr>
          <w:rStyle w:val="None"/>
          <w:rFonts w:ascii="Calibri" w:cs="Calibri" w:hAnsi="Calibri" w:eastAsia="Calibri"/>
          <w:u w:color="000000"/>
          <w:rtl w:val="0"/>
        </w:rPr>
        <w:t>ta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čů </w:t>
      </w:r>
      <w:r>
        <w:rPr>
          <w:rStyle w:val="None"/>
          <w:rFonts w:ascii="Calibri" w:cs="Calibri" w:hAnsi="Calibri" w:eastAsia="Calibri"/>
          <w:u w:color="000000"/>
          <w:rtl w:val="0"/>
        </w:rPr>
        <w:t>p</w:t>
      </w:r>
      <w:r>
        <w:rPr>
          <w:rStyle w:val="None"/>
          <w:rFonts w:ascii="Calibri" w:cs="Calibri" w:hAnsi="Calibri" w:eastAsia="Calibri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u w:color="000000"/>
          <w:rtl w:val="0"/>
        </w:rPr>
        <w:t>es velk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  <w:lang w:val="it-IT"/>
        </w:rPr>
        <w:t>data a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ž </w:t>
      </w:r>
      <w:r>
        <w:rPr>
          <w:rStyle w:val="None"/>
          <w:rFonts w:ascii="Calibri" w:cs="Calibri" w:hAnsi="Calibri" w:eastAsia="Calibri"/>
          <w:u w:color="000000"/>
          <w:rtl w:val="0"/>
        </w:rPr>
        <w:t>po za</w:t>
      </w:r>
      <w:r>
        <w:rPr>
          <w:rStyle w:val="None"/>
          <w:rFonts w:ascii="Calibri" w:cs="Calibri" w:hAnsi="Calibri" w:eastAsia="Calibri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u w:color="000000"/>
          <w:rtl w:val="0"/>
        </w:rPr>
        <w:t>zen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vyu</w:t>
      </w:r>
      <w:r>
        <w:rPr>
          <w:rStyle w:val="None"/>
          <w:rFonts w:ascii="Calibri" w:cs="Calibri" w:hAnsi="Calibri" w:eastAsia="Calibri"/>
          <w:u w:color="000000"/>
          <w:rtl w:val="0"/>
        </w:rPr>
        <w:t>ží</w:t>
      </w:r>
      <w:r>
        <w:rPr>
          <w:rStyle w:val="None"/>
          <w:rFonts w:ascii="Calibri" w:cs="Calibri" w:hAnsi="Calibri" w:eastAsia="Calibri"/>
          <w:u w:color="000000"/>
          <w:rtl w:val="0"/>
        </w:rPr>
        <w:t>vaj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c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IoT v chytr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  <w:lang w:val="de-DE"/>
        </w:rPr>
        <w:t xml:space="preserve">ch </w:t>
      </w:r>
      <w:r>
        <w:rPr>
          <w:rStyle w:val="None"/>
          <w:rFonts w:ascii="Calibri" w:cs="Calibri" w:hAnsi="Calibri" w:eastAsia="Calibri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u w:color="000000"/>
          <w:rtl w:val="0"/>
        </w:rPr>
        <w:t>i nositeln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ch za</w:t>
      </w:r>
      <w:r>
        <w:rPr>
          <w:rStyle w:val="None"/>
          <w:rFonts w:ascii="Calibri" w:cs="Calibri" w:hAnsi="Calibri" w:eastAsia="Calibri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u w:color="000000"/>
          <w:rtl w:val="0"/>
        </w:rPr>
        <w:t>zen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ch, v prototypov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a 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rob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ě </w:t>
      </w:r>
      <w:r>
        <w:rPr>
          <w:rStyle w:val="None"/>
          <w:rFonts w:ascii="Calibri" w:cs="Calibri" w:hAnsi="Calibri" w:eastAsia="Calibri"/>
          <w:u w:color="000000"/>
          <w:rtl w:val="0"/>
        </w:rPr>
        <w:t>na m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ru. Nejv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u w:color="000000"/>
          <w:rtl w:val="0"/>
        </w:rPr>
        <w:t>sv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tov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robci po</w:t>
      </w:r>
      <w:r>
        <w:rPr>
          <w:rStyle w:val="None"/>
          <w:rFonts w:ascii="Calibri" w:cs="Calibri" w:hAnsi="Calibri" w:eastAsia="Calibri"/>
          <w:u w:color="000000"/>
          <w:rtl w:val="0"/>
        </w:rPr>
        <w:t>čí</w:t>
      </w:r>
      <w:r>
        <w:rPr>
          <w:rStyle w:val="None"/>
          <w:rFonts w:ascii="Calibri" w:cs="Calibri" w:hAnsi="Calibri" w:eastAsia="Calibri"/>
          <w:u w:color="000000"/>
          <w:rtl w:val="0"/>
        </w:rPr>
        <w:t>ta</w:t>
      </w:r>
      <w:r>
        <w:rPr>
          <w:rStyle w:val="None"/>
          <w:rFonts w:ascii="Calibri" w:cs="Calibri" w:hAnsi="Calibri" w:eastAsia="Calibri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u w:color="000000"/>
          <w:rtl w:val="0"/>
        </w:rPr>
        <w:t>ov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techniky a poskytovatel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cloudov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ch slu</w:t>
      </w:r>
      <w:r>
        <w:rPr>
          <w:rStyle w:val="None"/>
          <w:rFonts w:ascii="Calibri" w:cs="Calibri" w:hAnsi="Calibri" w:eastAsia="Calibri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u w:color="000000"/>
          <w:rtl w:val="0"/>
        </w:rPr>
        <w:t>eb se ve sv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>m v</w:t>
      </w:r>
      <w:r>
        <w:rPr>
          <w:rStyle w:val="None"/>
          <w:rFonts w:ascii="Calibri" w:cs="Calibri" w:hAnsi="Calibri" w:eastAsia="Calibri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u w:color="000000"/>
          <w:rtl w:val="0"/>
        </w:rPr>
        <w:t>voji spol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u w:color="000000"/>
          <w:rtl w:val="0"/>
        </w:rPr>
        <w:t>haj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na Kingston. Na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</w:rPr>
        <w:t>e zaujet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pro v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c posouv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technologie, kter</w:t>
      </w:r>
      <w:r>
        <w:rPr>
          <w:rStyle w:val="None"/>
          <w:rFonts w:ascii="Calibri" w:cs="Calibri" w:hAnsi="Calibri" w:eastAsia="Calibri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  <w:lang w:val="pt-PT"/>
        </w:rPr>
        <w:t>s prov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zej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ka</w:t>
      </w:r>
      <w:r>
        <w:rPr>
          <w:rStyle w:val="None"/>
          <w:rFonts w:ascii="Calibri" w:cs="Calibri" w:hAnsi="Calibri" w:eastAsia="Calibri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u w:color="000000"/>
          <w:rtl w:val="0"/>
        </w:rPr>
        <w:t>d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ý </w:t>
      </w:r>
      <w:r>
        <w:rPr>
          <w:rStyle w:val="None"/>
          <w:rFonts w:ascii="Calibri" w:cs="Calibri" w:hAnsi="Calibri" w:eastAsia="Calibri"/>
          <w:u w:color="000000"/>
          <w:rtl w:val="0"/>
        </w:rPr>
        <w:t>den. Nevyr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b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me jenom produkty, ale pom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h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me naplnit o</w:t>
      </w:r>
      <w:r>
        <w:rPr>
          <w:rStyle w:val="None"/>
          <w:rFonts w:ascii="Calibri" w:cs="Calibri" w:hAnsi="Calibri" w:eastAsia="Calibri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u w:color="000000"/>
          <w:rtl w:val="0"/>
        </w:rPr>
        <w:t>ek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u w:color="000000"/>
          <w:rtl w:val="0"/>
        </w:rPr>
        <w:t>na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  <w:lang w:val="de-DE"/>
        </w:rPr>
        <w:t>ich z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>kazn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k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ů </w:t>
      </w:r>
      <w:r>
        <w:rPr>
          <w:rStyle w:val="None"/>
          <w:rFonts w:ascii="Calibri" w:cs="Calibri" w:hAnsi="Calibri" w:eastAsia="Calibri"/>
          <w:u w:color="000000"/>
          <w:rtl w:val="0"/>
        </w:rPr>
        <w:t>a vytv</w:t>
      </w:r>
      <w:r>
        <w:rPr>
          <w:rStyle w:val="None"/>
          <w:rFonts w:ascii="Calibri" w:cs="Calibri" w:hAnsi="Calibri" w:eastAsia="Calibri"/>
          <w:u w:color="000000"/>
          <w:rtl w:val="0"/>
        </w:rPr>
        <w:t>áří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me </w:t>
      </w:r>
      <w:r>
        <w:rPr>
          <w:rStyle w:val="None"/>
          <w:rFonts w:ascii="Calibri" w:cs="Calibri" w:hAnsi="Calibri" w:eastAsia="Calibri"/>
          <w:u w:color="000000"/>
          <w:rtl w:val="0"/>
        </w:rPr>
        <w:t>ř</w:t>
      </w:r>
      <w:r>
        <w:rPr>
          <w:rStyle w:val="None"/>
          <w:rFonts w:ascii="Calibri" w:cs="Calibri" w:hAnsi="Calibri" w:eastAsia="Calibri"/>
          <w:u w:color="000000"/>
          <w:rtl w:val="0"/>
        </w:rPr>
        <w:t>e</w:t>
      </w:r>
      <w:r>
        <w:rPr>
          <w:rStyle w:val="None"/>
          <w:rFonts w:ascii="Calibri" w:cs="Calibri" w:hAnsi="Calibri" w:eastAsia="Calibri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u w:color="000000"/>
          <w:rtl w:val="0"/>
        </w:rPr>
        <w:t>en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</w:rPr>
        <w:t>, kter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u w:color="000000"/>
          <w:rtl w:val="0"/>
        </w:rPr>
        <w:t>dok</w:t>
      </w:r>
      <w:r>
        <w:rPr>
          <w:rStyle w:val="None"/>
          <w:rFonts w:ascii="Calibri" w:cs="Calibri" w:hAnsi="Calibri" w:eastAsia="Calibri"/>
          <w:u w:color="000000"/>
          <w:rtl w:val="0"/>
        </w:rPr>
        <w:t>áž</w:t>
      </w:r>
      <w:r>
        <w:rPr>
          <w:rStyle w:val="None"/>
          <w:rFonts w:ascii="Calibri" w:cs="Calibri" w:hAnsi="Calibri" w:eastAsia="Calibri"/>
          <w:u w:color="000000"/>
          <w:rtl w:val="0"/>
        </w:rPr>
        <w:t>ou n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co zm</w:t>
      </w:r>
      <w:r>
        <w:rPr>
          <w:rStyle w:val="None"/>
          <w:rFonts w:ascii="Calibri" w:cs="Calibri" w:hAnsi="Calibri" w:eastAsia="Calibri"/>
          <w:u w:color="000000"/>
          <w:rtl w:val="0"/>
        </w:rPr>
        <w:t>ě</w:t>
      </w:r>
      <w:r>
        <w:rPr>
          <w:rStyle w:val="None"/>
          <w:rFonts w:ascii="Calibri" w:cs="Calibri" w:hAnsi="Calibri" w:eastAsia="Calibri"/>
          <w:u w:color="000000"/>
          <w:rtl w:val="0"/>
        </w:rPr>
        <w:t>nit k lep</w:t>
      </w:r>
      <w:r>
        <w:rPr>
          <w:rStyle w:val="None"/>
          <w:rFonts w:ascii="Calibri" w:cs="Calibri" w:hAnsi="Calibri" w:eastAsia="Calibri"/>
          <w:u w:color="000000"/>
          <w:rtl w:val="0"/>
        </w:rPr>
        <w:t>ší</w:t>
      </w:r>
      <w:r>
        <w:rPr>
          <w:rStyle w:val="None"/>
          <w:rFonts w:ascii="Calibri" w:cs="Calibri" w:hAnsi="Calibri" w:eastAsia="Calibri"/>
          <w:u w:color="000000"/>
          <w:rtl w:val="0"/>
        </w:rPr>
        <w:t>mu. Kingston je s v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mi 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– </w:t>
      </w:r>
      <w:r>
        <w:rPr>
          <w:rStyle w:val="None"/>
          <w:rFonts w:ascii="Calibri" w:cs="Calibri" w:hAnsi="Calibri" w:eastAsia="Calibri"/>
          <w:u w:color="000000"/>
          <w:rtl w:val="0"/>
          <w:lang w:val="en-US"/>
        </w:rPr>
        <w:t xml:space="preserve">Kingston Is With You 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– </w:t>
      </w:r>
      <w:r>
        <w:rPr>
          <w:rStyle w:val="None"/>
          <w:rFonts w:ascii="Calibri" w:cs="Calibri" w:hAnsi="Calibri" w:eastAsia="Calibri"/>
          <w:u w:color="000000"/>
          <w:rtl w:val="0"/>
        </w:rPr>
        <w:t>a v</w:t>
      </w:r>
      <w:r>
        <w:rPr>
          <w:rStyle w:val="None"/>
          <w:rFonts w:ascii="Calibri" w:cs="Calibri" w:hAnsi="Calibri" w:eastAsia="Calibri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u w:color="000000"/>
          <w:rtl w:val="0"/>
          <w:lang w:val="pt-PT"/>
        </w:rPr>
        <w:t>c o n</w:t>
      </w:r>
      <w:r>
        <w:rPr>
          <w:rStyle w:val="None"/>
          <w:rFonts w:ascii="Calibri" w:cs="Calibri" w:hAnsi="Calibri" w:eastAsia="Calibri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u w:color="000000"/>
          <w:rtl w:val="0"/>
        </w:rPr>
        <w:t xml:space="preserve">s najdete na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"http://www.kingston.com/?utm_source=pr"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Kingston.com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u w:color="000000"/>
          <w:rtl w:val="0"/>
        </w:rPr>
        <w:t>.</w:t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  <w:lang w:val="de-DE"/>
        </w:rPr>
        <w:t>Redak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pozn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b w:val="1"/>
          <w:bCs w:val="1"/>
          <w:sz w:val="16"/>
          <w:szCs w:val="16"/>
          <w:u w:color="000000"/>
          <w:rtl w:val="0"/>
        </w:rPr>
        <w:t>mka: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 Pokud m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nl-NL"/>
        </w:rPr>
        <w:t>te z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jem o dal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ší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informace, testovac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produkty nebo rozhovory s vedouc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mi pracovn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ky, kontaktujte pros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en-US"/>
        </w:rPr>
        <w:t>m Debbie Fowler, Kingston Technology Europe Co LLP, Kingston Court, Brooklands Close, Sunbury-on-Thames, TW16 7EP. Obr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zky pro m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dia je mo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ž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naj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t na propaga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í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str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en-US"/>
        </w:rPr>
        <w:t xml:space="preserve">nce Kingston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"https://www.kingston.com/en/company/press"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zde</w:t>
      </w:r>
      <w:r>
        <w:rPr/>
        <w:fldChar w:fldCharType="end" w:fldLock="0"/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 </w:t>
      </w:r>
    </w:p>
    <w:p>
      <w:pPr>
        <w:pStyle w:val="Default"/>
        <w:jc w:val="center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###</w:t>
      </w:r>
      <w:r>
        <w:rPr>
          <w:rStyle w:val="None"/>
          <w:rFonts w:ascii="Calibri" w:cs="Calibri" w:hAnsi="Calibri" w:eastAsia="Calibri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u w:color="000000"/>
        </w:rPr>
      </w:pPr>
      <w:r>
        <w:rPr>
          <w:rStyle w:val="None"/>
          <w:rFonts w:ascii="Calibri" w:cs="Calibri" w:hAnsi="Calibri" w:eastAsia="Calibri"/>
          <w:u w:color="000000"/>
          <w:rtl w:val="0"/>
        </w:rPr>
        <w:t>  </w:t>
      </w:r>
    </w:p>
    <w:p>
      <w:pPr>
        <w:pStyle w:val="Default"/>
        <w:rPr>
          <w:rStyle w:val="None"/>
          <w:u w:color="000000"/>
        </w:rPr>
      </w:pP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Kingston a logo Kingston jsou registrovan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mky Kingston Technology Corporation. IronKey je registrovan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 xml:space="preserve">á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mka spole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č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nosti Kingston Digital, Inc. V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echna pr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va vyhrazena. V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echny ochrann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  <w:lang w:val="fr-FR"/>
        </w:rPr>
        <w:t xml:space="preserve">é 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zn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mky jsou majetkem p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ří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slu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š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ch vlastn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í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k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ů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.</w:t>
      </w:r>
      <w:r>
        <w:rPr>
          <w:rStyle w:val="None"/>
          <w:rFonts w:ascii="Calibri" w:cs="Calibri" w:hAnsi="Calibri" w:eastAsia="Calibri"/>
          <w:sz w:val="16"/>
          <w:szCs w:val="16"/>
          <w:u w:color="000000"/>
          <w:rtl w:val="0"/>
        </w:rPr>
        <w:t> </w:t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</w:rPr>
        <w:t>Kontakty pro m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  <w:lang w:val="fr-FR"/>
        </w:rPr>
        <w:t>é</w:t>
      </w:r>
      <w:r>
        <w:rPr>
          <w:rStyle w:val="None"/>
          <w:rFonts w:ascii="Calibri" w:cs="Calibri" w:hAnsi="Calibri" w:eastAsia="Calibri"/>
          <w:b w:val="1"/>
          <w:bCs w:val="1"/>
          <w:sz w:val="18"/>
          <w:szCs w:val="18"/>
          <w:u w:color="000000"/>
          <w:shd w:val="clear" w:color="auto" w:fill="ffffff"/>
          <w:rtl w:val="0"/>
          <w:lang w:val="it-IT"/>
        </w:rPr>
        <w:t>dia: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shd w:val="clear" w:color="auto" w:fill="ffffff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da-DK"/>
        </w:rPr>
        <w:t>Debbie Fowler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</w:t>
      </w:r>
      <w:r>
        <w:rPr>
          <w:rStyle w:val="None"/>
          <w:rFonts w:ascii="Arial Unicode MS" w:cs="Arial Unicode MS" w:hAnsi="Arial Unicode MS" w:eastAsia="Arial Unicode MS"/>
          <w:sz w:val="24"/>
          <w:szCs w:val="24"/>
          <w:u w:color="000000"/>
        </w:rPr>
        <w:br w:type="textWrapping"/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en-US"/>
        </w:rPr>
        <w:t>Kingston Technology Europe Co LLP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07775695576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  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"mailto:Dfowler@kingston.eu"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</w:rPr>
        <w:t>Dfowler@kingston.eu</w:t>
      </w:r>
      <w:r>
        <w:rPr/>
        <w:fldChar w:fldCharType="end" w:fldLock="0"/>
      </w:r>
    </w:p>
    <w:p>
      <w:pPr>
        <w:pStyle w:val="Default"/>
        <w:rPr>
          <w:rStyle w:val="None"/>
          <w:rFonts w:ascii="Calibri" w:cs="Calibri" w:hAnsi="Calibri" w:eastAsia="Calibri"/>
          <w:sz w:val="16"/>
          <w:szCs w:val="16"/>
          <w:u w:color="000000"/>
        </w:rPr>
      </w:pP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Jasna S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ý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korov</w:t>
      </w: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á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  <w:lang w:val="fr-FR"/>
        </w:rPr>
        <w:t xml:space="preserve">Taktiq Communications s.r.o. </w:t>
      </w:r>
    </w:p>
    <w:p>
      <w:pPr>
        <w:pStyle w:val="Default"/>
        <w:rPr>
          <w:rStyle w:val="None"/>
          <w:rFonts w:ascii="Calibri" w:cs="Calibri" w:hAnsi="Calibri" w:eastAsia="Calibri"/>
          <w:sz w:val="18"/>
          <w:szCs w:val="18"/>
          <w:u w:color="000000"/>
        </w:rPr>
      </w:pPr>
      <w:r>
        <w:rPr>
          <w:rStyle w:val="None"/>
          <w:rFonts w:ascii="Calibri" w:cs="Calibri" w:hAnsi="Calibri" w:eastAsia="Calibri"/>
          <w:sz w:val="18"/>
          <w:szCs w:val="18"/>
          <w:u w:color="000000"/>
          <w:rtl w:val="0"/>
        </w:rPr>
        <w:t>+420 739 415 163</w:t>
      </w:r>
    </w:p>
    <w:p>
      <w:pPr>
        <w:pStyle w:val="Default"/>
      </w:pPr>
      <w:r>
        <w:rPr>
          <w:rStyle w:val="Hyperlink.5"/>
        </w:rPr>
        <w:fldChar w:fldCharType="begin" w:fldLock="0"/>
      </w:r>
      <w:r>
        <w:rPr>
          <w:rStyle w:val="Hyperlink.5"/>
        </w:rPr>
        <w:instrText xml:space="preserve"> HYPERLINK "mailto:jasna.sykorova@taktiq.com"</w:instrText>
      </w:r>
      <w:r>
        <w:rPr>
          <w:rStyle w:val="Hyperlink.5"/>
        </w:rPr>
        <w:fldChar w:fldCharType="separate" w:fldLock="0"/>
      </w:r>
      <w:r>
        <w:rPr>
          <w:rStyle w:val="Hyperlink.5"/>
          <w:rtl w:val="0"/>
        </w:rPr>
        <w:t>jasna.sykorova@taktiq.com</w:t>
      </w:r>
      <w:r>
        <w:rPr/>
        <w:fldChar w:fldCharType="end" w:fldLock="0"/>
      </w:r>
      <w:r/>
    </w:p>
    <w:sectPr>
      <w:headerReference w:type="default" r:id="rId6"/>
      <w:footerReference w:type="default" r:id="rId7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Segoe UI Symbol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color w:val="0000ff"/>
      <w:u w:val="single" w:color="0000ff"/>
    </w:rPr>
  </w:style>
  <w:style w:type="character" w:styleId="Hyperlink.0">
    <w:name w:val="Hyperlink.0"/>
    <w:basedOn w:val="Link"/>
    <w:next w:val="Hyperlink.0"/>
    <w:rPr>
      <w:rFonts w:ascii="Calibri" w:cs="Calibri" w:hAnsi="Calibri" w:eastAsia="Calibri"/>
      <w:sz w:val="22"/>
      <w:szCs w:val="22"/>
    </w:rPr>
  </w:style>
  <w:style w:type="character" w:styleId="Hyperlink.1">
    <w:name w:val="Hyperlink.1"/>
    <w:basedOn w:val="Link"/>
    <w:next w:val="Hyperlink.1"/>
    <w:rPr>
      <w:rFonts w:ascii="Calibri" w:cs="Calibri" w:hAnsi="Calibri" w:eastAsia="Calibri"/>
      <w:b w:val="1"/>
      <w:bCs w:val="1"/>
      <w:sz w:val="22"/>
      <w:szCs w:val="22"/>
    </w:rPr>
  </w:style>
  <w:style w:type="numbering" w:styleId="Imported Style 2">
    <w:name w:val="Imported Style 2"/>
    <w:pPr>
      <w:numPr>
        <w:numId w:val="3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None">
    <w:name w:val="None"/>
  </w:style>
  <w:style w:type="character" w:styleId="Hyperlink.2">
    <w:name w:val="Hyperlink.2"/>
    <w:basedOn w:val="None"/>
    <w:next w:val="Hyperlink.2"/>
    <w:rPr>
      <w:rFonts w:ascii="Calibri" w:cs="Calibri" w:hAnsi="Calibri" w:eastAsia="Calibri"/>
      <w:color w:val="0000ff"/>
      <w:u w:val="single" w:color="0000ff"/>
    </w:rPr>
  </w:style>
  <w:style w:type="character" w:styleId="Hyperlink.3">
    <w:name w:val="Hyperlink.3"/>
    <w:basedOn w:val="None"/>
    <w:next w:val="Hyperlink.3"/>
    <w:rPr>
      <w:rFonts w:ascii="Calibri" w:cs="Calibri" w:hAnsi="Calibri" w:eastAsia="Calibri"/>
      <w:color w:val="0563c1"/>
      <w:u w:val="single" w:color="0563c1"/>
    </w:rPr>
  </w:style>
  <w:style w:type="character" w:styleId="Hyperlink.4">
    <w:name w:val="Hyperlink.4"/>
    <w:basedOn w:val="None"/>
    <w:next w:val="Hyperlink.4"/>
    <w:rPr>
      <w:rFonts w:ascii="Calibri" w:cs="Calibri" w:hAnsi="Calibri" w:eastAsia="Calibri"/>
      <w:color w:val="0000ff"/>
      <w:sz w:val="16"/>
      <w:szCs w:val="16"/>
      <w:u w:val="single" w:color="0000ff"/>
    </w:rPr>
  </w:style>
  <w:style w:type="character" w:styleId="Hyperlink.5">
    <w:name w:val="Hyperlink.5"/>
    <w:basedOn w:val="None"/>
    <w:next w:val="Hyperlink.5"/>
    <w:rPr>
      <w:rFonts w:ascii="Calibri" w:cs="Calibri" w:hAnsi="Calibri" w:eastAsia="Calibri"/>
      <w:color w:val="0000ff"/>
      <w:sz w:val="18"/>
      <w:szCs w:val="18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