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ální"/>
        <w:jc w:val="center"/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1489075</wp:posOffset>
            </wp:positionH>
            <wp:positionV relativeFrom="line">
              <wp:posOffset>0</wp:posOffset>
            </wp:positionV>
            <wp:extent cx="2076450" cy="49593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KTC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TC_LOGO" descr="KTC_LOGO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95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ální"/>
        <w:rPr>
          <w:b w:val="1"/>
          <w:bCs w:val="1"/>
          <w:sz w:val="18"/>
          <w:szCs w:val="18"/>
        </w:rPr>
      </w:pPr>
    </w:p>
    <w:p>
      <w:pPr>
        <w:pStyle w:val="Normální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</w:p>
    <w:p>
      <w:pPr>
        <w:pStyle w:val="Normální"/>
        <w:rPr>
          <w:rFonts w:ascii="Calibri" w:cs="Calibri" w:hAnsi="Calibri" w:eastAsia="Calibri"/>
          <w:b w:val="1"/>
          <w:bCs w:val="1"/>
          <w:sz w:val="28"/>
          <w:szCs w:val="28"/>
          <w:u w:val="single"/>
        </w:rPr>
      </w:pPr>
    </w:p>
    <w:p>
      <w:pPr>
        <w:pStyle w:val="Normální"/>
        <w:rPr>
          <w:rFonts w:ascii="Calibri" w:cs="Calibri" w:hAnsi="Calibri" w:eastAsia="Calibri"/>
        </w:rPr>
      </w:pPr>
    </w:p>
    <w:p>
      <w:pPr>
        <w:pStyle w:val="Normální"/>
        <w:rPr>
          <w:rFonts w:ascii="Times New Roman" w:hAnsi="Times New Roman"/>
          <w:color w:val="ff0000"/>
          <w:u w:color="ff0000"/>
        </w:rPr>
      </w:pPr>
    </w:p>
    <w:p>
      <w:pPr>
        <w:pStyle w:val="Normální"/>
        <w:jc w:val="center"/>
        <w:rPr>
          <w:rFonts w:ascii="Calibri" w:cs="Calibri" w:hAnsi="Calibri" w:eastAsia="Calibri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Spole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č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nost Kingston Technology byla i v roce 2019 nejv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ě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t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ší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m dodavatelem modul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 xml:space="preserve">ů </w:t>
      </w:r>
      <w:r>
        <w:rPr>
          <w:rFonts w:ascii="Calibri" w:cs="Calibri" w:hAnsi="Calibri" w:eastAsia="Calibri"/>
          <w:b w:val="1"/>
          <w:bCs w:val="1"/>
          <w:sz w:val="36"/>
          <w:szCs w:val="36"/>
          <w:rtl w:val="0"/>
        </w:rPr>
        <w:t>DRAM</w:t>
      </w:r>
    </w:p>
    <w:p>
      <w:pPr>
        <w:pStyle w:val="Normální"/>
        <w:rPr>
          <w:rFonts w:ascii="Calibri" w:cs="Calibri" w:hAnsi="Calibri" w:eastAsia="Calibri"/>
          <w:sz w:val="20"/>
          <w:szCs w:val="20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center"/>
        <w:rPr>
          <w:rFonts w:ascii="Calibri" w:cs="Calibri" w:hAnsi="Calibri" w:eastAsia="Calibri"/>
          <w:b w:val="1"/>
          <w:bCs w:val="1"/>
          <w:i w:val="1"/>
          <w:iCs w:val="1"/>
          <w:rtl w:val="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Hodnocen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podle v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ýš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ky p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ří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jm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ů ř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ad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í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Kingston s </w:t>
      </w:r>
      <w:r>
        <w:rPr>
          <w:rFonts w:ascii="Calibri" w:cs="Calibri" w:hAnsi="Calibri" w:eastAsia="Calibri"/>
          <w:b w:val="1"/>
          <w:bCs w:val="1"/>
          <w:i w:val="1"/>
          <w:iCs w:val="1"/>
          <w:u w:val="single"/>
          <w:rtl w:val="0"/>
        </w:rPr>
        <w:t>80,33%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 pod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í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lem na trhu na 1. m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í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sto</w:t>
      </w:r>
    </w:p>
    <w:p>
      <w:pPr>
        <w:pStyle w:val="List Paragraph"/>
        <w:numPr>
          <w:ilvl w:val="0"/>
          <w:numId w:val="3"/>
        </w:numPr>
        <w:bidi w:val="0"/>
        <w:spacing w:line="360" w:lineRule="auto"/>
        <w:ind w:right="0"/>
        <w:jc w:val="center"/>
        <w:rPr>
          <w:rFonts w:ascii="Calibri" w:cs="Calibri" w:hAnsi="Calibri" w:eastAsia="Calibri"/>
          <w:b w:val="1"/>
          <w:bCs w:val="1"/>
          <w:i w:val="1"/>
          <w:iCs w:val="1"/>
          <w:rtl w:val="0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L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í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dr v oblasti pam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ěť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ov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ý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ch produkt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ů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dod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á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v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á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16Gb moduly a podporuje p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ř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echod v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ý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robc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ů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na pam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ě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ti s vy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 xml:space="preserve">šší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</w:rPr>
        <w:t>hustotou</w:t>
      </w:r>
    </w:p>
    <w:p>
      <w:pPr>
        <w:pStyle w:val="Normální"/>
        <w:spacing w:line="360" w:lineRule="atLeast"/>
      </w:pPr>
    </w:p>
    <w:p>
      <w:pPr>
        <w:pStyle w:val="Normální"/>
        <w:spacing w:line="360" w:lineRule="atLeast"/>
        <w:rPr>
          <w:rStyle w:val="Hyperlink.0"/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Sunbury-on-Thames, Spojen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 xml:space="preserve">é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kr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á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lovstv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 xml:space="preserve">í –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2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  <w:lang w:val="en-US"/>
        </w:rPr>
        <w:t>2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 xml:space="preserve">.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z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>áří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 xml:space="preserve"> 2020 </w:t>
      </w:r>
      <w:r>
        <w:rPr>
          <w:rFonts w:ascii="Calibri" w:cs="Calibri" w:hAnsi="Calibri" w:eastAsia="Calibri"/>
          <w:b w:val="1"/>
          <w:bCs w:val="1"/>
          <w:i w:val="1"/>
          <w:iCs w:val="1"/>
          <w:sz w:val="22"/>
          <w:szCs w:val="22"/>
          <w:rtl w:val="0"/>
        </w:rPr>
        <w:t xml:space="preserve">–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>Spole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>nost Kingston Technology Europe Co LLP, kter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 xml:space="preserve">á 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>je pobo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>č</w:t>
      </w:r>
      <w:r>
        <w:rPr>
          <w:rFonts w:ascii="Calibri" w:cs="Calibri" w:hAnsi="Calibri" w:eastAsia="Calibri"/>
          <w:sz w:val="22"/>
          <w:szCs w:val="22"/>
          <w:shd w:val="clear" w:color="auto" w:fill="ffffff"/>
          <w:rtl w:val="0"/>
        </w:rPr>
        <w:t xml:space="preserve">kou </w:t>
      </w:r>
      <w:r>
        <w:rPr>
          <w:rFonts w:ascii="Calibri" w:cs="Calibri" w:hAnsi="Calibri" w:eastAsia="Calibri"/>
          <w:sz w:val="22"/>
          <w:szCs w:val="22"/>
          <w:rtl w:val="0"/>
        </w:rPr>
        <w:t>Kingston Technology Company, sv</w:t>
      </w:r>
      <w:r>
        <w:rPr>
          <w:rFonts w:ascii="Calibri" w:cs="Calibri" w:hAnsi="Calibri" w:eastAsia="Calibri"/>
          <w:sz w:val="22"/>
          <w:szCs w:val="22"/>
          <w:rtl w:val="0"/>
        </w:rPr>
        <w:t>ě</w:t>
      </w:r>
      <w:r>
        <w:rPr>
          <w:rFonts w:ascii="Calibri" w:cs="Calibri" w:hAnsi="Calibri" w:eastAsia="Calibri"/>
          <w:sz w:val="22"/>
          <w:szCs w:val="22"/>
          <w:rtl w:val="0"/>
        </w:rPr>
        <w:t>tov</w:t>
      </w:r>
      <w:r>
        <w:rPr>
          <w:rFonts w:ascii="Calibri" w:cs="Calibri" w:hAnsi="Calibri" w:eastAsia="Calibri"/>
          <w:sz w:val="22"/>
          <w:szCs w:val="22"/>
          <w:rtl w:val="0"/>
        </w:rPr>
        <w:t>é</w:t>
      </w:r>
      <w:r>
        <w:rPr>
          <w:rFonts w:ascii="Calibri" w:cs="Calibri" w:hAnsi="Calibri" w:eastAsia="Calibri"/>
          <w:sz w:val="22"/>
          <w:szCs w:val="22"/>
          <w:rtl w:val="0"/>
        </w:rPr>
        <w:t>ho l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>dra v oblasti pam</w:t>
      </w:r>
      <w:r>
        <w:rPr>
          <w:rFonts w:ascii="Calibri" w:cs="Calibri" w:hAnsi="Calibri" w:eastAsia="Calibri"/>
          <w:sz w:val="22"/>
          <w:szCs w:val="22"/>
          <w:rtl w:val="0"/>
        </w:rPr>
        <w:t>ěť</w:t>
      </w:r>
      <w:r>
        <w:rPr>
          <w:rFonts w:ascii="Calibri" w:cs="Calibri" w:hAnsi="Calibri" w:eastAsia="Calibri"/>
          <w:sz w:val="22"/>
          <w:szCs w:val="22"/>
          <w:rtl w:val="0"/>
        </w:rPr>
        <w:t>ov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>ch produkt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Fonts w:ascii="Calibri" w:cs="Calibri" w:hAnsi="Calibri" w:eastAsia="Calibri"/>
          <w:sz w:val="22"/>
          <w:szCs w:val="22"/>
          <w:rtl w:val="0"/>
        </w:rPr>
        <w:t>a technologick</w:t>
      </w:r>
      <w:r>
        <w:rPr>
          <w:rFonts w:ascii="Calibri" w:cs="Calibri" w:hAnsi="Calibri" w:eastAsia="Calibri"/>
          <w:sz w:val="22"/>
          <w:szCs w:val="22"/>
          <w:rtl w:val="0"/>
        </w:rPr>
        <w:t>ý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ch </w:t>
      </w:r>
      <w:r>
        <w:rPr>
          <w:rFonts w:ascii="Calibri" w:cs="Calibri" w:hAnsi="Calibri" w:eastAsia="Calibri"/>
          <w:sz w:val="22"/>
          <w:szCs w:val="22"/>
          <w:rtl w:val="0"/>
        </w:rPr>
        <w:t>ř</w:t>
      </w:r>
      <w:r>
        <w:rPr>
          <w:rFonts w:ascii="Calibri" w:cs="Calibri" w:hAnsi="Calibri" w:eastAsia="Calibri"/>
          <w:sz w:val="22"/>
          <w:szCs w:val="22"/>
          <w:rtl w:val="0"/>
        </w:rPr>
        <w:t>e</w:t>
      </w:r>
      <w:r>
        <w:rPr>
          <w:rFonts w:ascii="Calibri" w:cs="Calibri" w:hAnsi="Calibri" w:eastAsia="Calibri"/>
          <w:sz w:val="22"/>
          <w:szCs w:val="22"/>
          <w:rtl w:val="0"/>
        </w:rPr>
        <w:t>š</w:t>
      </w:r>
      <w:r>
        <w:rPr>
          <w:rFonts w:ascii="Calibri" w:cs="Calibri" w:hAnsi="Calibri" w:eastAsia="Calibri"/>
          <w:sz w:val="22"/>
          <w:szCs w:val="22"/>
          <w:rtl w:val="0"/>
        </w:rPr>
        <w:t>en</w:t>
      </w:r>
      <w:r>
        <w:rPr>
          <w:rFonts w:ascii="Calibri" w:cs="Calibri" w:hAnsi="Calibri" w:eastAsia="Calibri"/>
          <w:sz w:val="22"/>
          <w:szCs w:val="22"/>
          <w:rtl w:val="0"/>
        </w:rPr>
        <w:t>í</w:t>
      </w:r>
      <w:r>
        <w:rPr>
          <w:rFonts w:ascii="Calibri" w:cs="Calibri" w:hAnsi="Calibri" w:eastAsia="Calibri"/>
          <w:sz w:val="22"/>
          <w:szCs w:val="22"/>
          <w:rtl w:val="0"/>
        </w:rPr>
        <w:t xml:space="preserve">,  byla podle </w:t>
      </w:r>
      <w:r>
        <w:rPr>
          <w:rStyle w:val="Hyperlink.0"/>
          <w:rFonts w:ascii="Calibri" w:cs="Calibri" w:hAnsi="Calibri" w:eastAsia="Calibri"/>
          <w:sz w:val="22"/>
          <w:szCs w:val="22"/>
        </w:rPr>
        <w:fldChar w:fldCharType="begin" w:fldLock="0"/>
      </w:r>
      <w:r>
        <w:rPr>
          <w:rStyle w:val="Hyperlink.0"/>
          <w:rFonts w:ascii="Calibri" w:cs="Calibri" w:hAnsi="Calibri" w:eastAsia="Calibri"/>
          <w:sz w:val="22"/>
          <w:szCs w:val="22"/>
        </w:rPr>
        <w:instrText xml:space="preserve"> HYPERLINK "https://www.trendforce.com/presscenter/news/20200826-10457.html"</w:instrText>
      </w:r>
      <w:r>
        <w:rPr>
          <w:rStyle w:val="Hyperlink.0"/>
          <w:rFonts w:ascii="Calibri" w:cs="Calibri" w:hAnsi="Calibri" w:eastAsia="Calibri"/>
          <w:sz w:val="22"/>
          <w:szCs w:val="22"/>
        </w:rPr>
        <w:fldChar w:fldCharType="separate" w:fldLock="0"/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nejnov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j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ho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ehledu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jm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/>
        <w:fldChar w:fldCharType="end" w:fldLock="0"/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 sestaven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é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ho analytickou firmou TrendForce (d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ve DRAMeXchange) op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t za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azena mezi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nejv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ě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t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ší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sv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ě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tov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é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dodavatele DRAM modul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ů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pro t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ř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et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í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strany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. Podle zji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TrendForce si spole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nost Kingston udr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uje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pozici jedni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č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ky na trhu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 s odhadovan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mi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jmy 12,9 miliardy dolar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, co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edstavuje 80,33% tr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l. Hodnocen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za rok 2019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ad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spole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nost Kingston na prvn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sto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eb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ku ji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 sedmn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za sebou od doby, kdy ji firma TrendForce um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stila  na nejvy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šší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ku poprv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é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Normální"/>
        <w:spacing w:line="360" w:lineRule="atLeast"/>
        <w:ind w:firstLine="720"/>
        <w:rPr>
          <w:rStyle w:val="Hyperlink.0"/>
          <w:rFonts w:ascii="Calibri" w:cs="Calibri" w:hAnsi="Calibri" w:eastAsia="Calibri"/>
          <w:sz w:val="22"/>
          <w:szCs w:val="22"/>
        </w:rPr>
      </w:pP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TrendForce uv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,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 ceny DRAM byly v roce 2019 ni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žší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li velk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nab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dce v kombinaci se slab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popt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vkou ze strany 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robc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serverov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i klientsk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za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, co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ž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vedlo ke sn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jm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u mnoha 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robc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pam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ěť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modul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.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Kingston byl podle analytik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 xml:space="preserve">ů 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jedn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í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m z m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á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la, kte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ří š</w:t>
      </w:r>
      <w:r>
        <w:rPr>
          <w:rStyle w:val="None"/>
          <w:rFonts w:ascii="Calibri" w:cs="Calibri" w:hAnsi="Calibri" w:eastAsia="Calibri"/>
          <w:b w:val="1"/>
          <w:bCs w:val="1"/>
          <w:sz w:val="22"/>
          <w:szCs w:val="22"/>
          <w:rtl w:val="0"/>
        </w:rPr>
        <w:t>li proti tomuto trendu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 a zaznamenali 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st pod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lu na trhu. Spole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nost Kingston si udr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ela svoji konkuren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hodu 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ky 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spolupr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ci se sv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mi partnery a z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kazn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ky, kter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j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umo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nila z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stat flexibiln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a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izp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sobovat se jejich neust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le se 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pot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eb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a tr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podm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m.</w:t>
      </w:r>
    </w:p>
    <w:p>
      <w:pPr>
        <w:pStyle w:val="Normální"/>
        <w:spacing w:line="360" w:lineRule="atLeast"/>
        <w:ind w:firstLine="720"/>
        <w:rPr>
          <w:rStyle w:val="Hyperlink.0"/>
          <w:rFonts w:ascii="Calibri" w:cs="Calibri" w:hAnsi="Calibri" w:eastAsia="Calibri"/>
          <w:sz w:val="22"/>
          <w:szCs w:val="22"/>
        </w:rPr>
      </w:pP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sleduj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tabulka s 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sledky od TrendForce ukazuje 10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edn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dodavatel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modul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DRAM:</w:t>
      </w:r>
    </w:p>
    <w:p>
      <w:pPr>
        <w:pStyle w:val="Normální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6210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79"/>
        <w:gridCol w:w="850"/>
        <w:gridCol w:w="2127"/>
        <w:gridCol w:w="1275"/>
        <w:gridCol w:w="1418"/>
        <w:gridCol w:w="261"/>
      </w:tblGrid>
      <w:tr>
        <w:tblPrEx>
          <w:shd w:val="clear" w:color="auto" w:fill="ced7e7"/>
        </w:tblPrEx>
        <w:trPr>
          <w:trHeight w:val="195" w:hRule="atLeast"/>
        </w:trPr>
        <w:tc>
          <w:tcPr>
            <w:tcW w:type="dxa" w:w="621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80" w:after="120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Hodnocen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 xml:space="preserve">í 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v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ý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robc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 xml:space="preserve">ů 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modul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 xml:space="preserve">ů 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DRAM podle celkov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ý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ch p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ří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jm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 xml:space="preserve">ů </w:t>
            </w:r>
            <w:r>
              <w:rPr>
                <w:rStyle w:val="None"/>
                <w:b w:val="1"/>
                <w:bCs w:val="1"/>
                <w:color w:val="ffffff"/>
                <w:sz w:val="16"/>
                <w:szCs w:val="16"/>
                <w:u w:color="ffffff"/>
                <w:rtl w:val="0"/>
              </w:rPr>
              <w:t>za rok 2019</w:t>
            </w:r>
          </w:p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183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Pozice 2019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183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Spole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č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nost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183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Pod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í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l dod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á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vek na trh (%)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183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P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ří</w:t>
            </w: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jem za DRAM (miliony USD)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1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Kingston Technology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80,33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12 937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2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Ramaxel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2,94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474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3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SMART Modular Technologies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2,68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431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4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POWEV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2,29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369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5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ADATA Technology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2,27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366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6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tigo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2,04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329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7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Team Group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0,95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153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8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Transcend Information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0,80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129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9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Apacer Technology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0,60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96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10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Innodisk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0,56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6e7e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91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Ostatn</w:t>
            </w: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í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4,53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sz w:val="14"/>
                <w:szCs w:val="14"/>
                <w:rtl w:val="0"/>
              </w:rPr>
              <w:t>729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7787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7787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Celkem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7787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100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7787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ální"/>
              <w:jc w:val="center"/>
            </w:pPr>
            <w:r>
              <w:rPr>
                <w:rStyle w:val="None"/>
                <w:b w:val="1"/>
                <w:bCs w:val="1"/>
                <w:color w:val="ffffff"/>
                <w:sz w:val="14"/>
                <w:szCs w:val="14"/>
                <w:u w:color="ffffff"/>
                <w:rtl w:val="0"/>
              </w:rPr>
              <w:t>16 105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2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í"/>
              <w:spacing w:before="120" w:line="264" w:lineRule="auto"/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</w:rPr>
            </w:pP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Pozn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á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mka: V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ý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robci modul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 xml:space="preserve">ů 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prov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á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d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ě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j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 xml:space="preserve">í 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r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ů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zn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 xml:space="preserve">é 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obchodn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 xml:space="preserve">í 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operace. Toto hodnocen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 xml:space="preserve">í 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je v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š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ak zalo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ž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eno v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ý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lu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č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n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 xml:space="preserve">ě 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na jejich ro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č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n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í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ch p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ří</w:t>
            </w: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jmech za DRAM moduly.</w:t>
            </w:r>
          </w:p>
          <w:p>
            <w:pPr>
              <w:pStyle w:val="Normální"/>
              <w:bidi w:val="0"/>
              <w:spacing w:after="180" w:line="26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1"/>
                <w:bCs w:val="1"/>
                <w:color w:val="ffffff"/>
                <w:sz w:val="10"/>
                <w:szCs w:val="10"/>
                <w:u w:color="ffffff"/>
                <w:rtl w:val="0"/>
              </w:rPr>
              <w:t>Zdroj: TrendForce, srpen 2020</w:t>
            </w:r>
          </w:p>
        </w:tc>
        <w:tc>
          <w:tcPr>
            <w:tcW w:type="dxa" w:w="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ální"/>
        <w:widowControl w:val="0"/>
        <w:ind w:left="108" w:hanging="108"/>
        <w:jc w:val="center"/>
        <w:rPr>
          <w:rStyle w:val="None"/>
          <w:rFonts w:ascii="Arial Unicode MS" w:cs="Arial Unicode MS" w:hAnsi="Arial Unicode MS" w:eastAsia="Arial Unicode MS"/>
        </w:rPr>
      </w:pPr>
    </w:p>
    <w:p>
      <w:pPr>
        <w:pStyle w:val="Normální"/>
        <w:widowControl w:val="0"/>
        <w:jc w:val="center"/>
      </w:pPr>
    </w:p>
    <w:p>
      <w:pPr>
        <w:pStyle w:val="Normální"/>
      </w:pPr>
    </w:p>
    <w:p>
      <w:pPr>
        <w:pStyle w:val="Normální"/>
        <w:jc w:val="center"/>
        <w:rPr>
          <w:rStyle w:val="None"/>
        </w:rPr>
      </w:pPr>
    </w:p>
    <w:p>
      <w:pPr>
        <w:pStyle w:val="Normální"/>
        <w:spacing w:line="360" w:lineRule="auto"/>
        <w:jc w:val="center"/>
        <w:rPr>
          <w:rStyle w:val="None"/>
          <w:rFonts w:ascii="Calibri" w:cs="Calibri" w:hAnsi="Calibri" w:eastAsia="Calibri"/>
          <w:b w:val="1"/>
          <w:bCs w:val="1"/>
          <w:u w:val="single"/>
        </w:rPr>
      </w:pPr>
    </w:p>
    <w:p>
      <w:pPr>
        <w:pStyle w:val="Normální"/>
        <w:spacing w:line="360" w:lineRule="auto"/>
        <w:jc w:val="center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Nov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 xml:space="preserve">á 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litografie umo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žň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uje vyr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á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b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ě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t na waferu pam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ě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ti DRAM DDR4 s vy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 xml:space="preserve">šší </w:t>
      </w:r>
      <w:r>
        <w:rPr>
          <w:rStyle w:val="None"/>
          <w:rFonts w:ascii="Calibri" w:cs="Calibri" w:hAnsi="Calibri" w:eastAsia="Calibri"/>
          <w:b w:val="1"/>
          <w:bCs w:val="1"/>
          <w:u w:val="single"/>
          <w:rtl w:val="0"/>
        </w:rPr>
        <w:t>hustotou</w:t>
      </w:r>
    </w:p>
    <w:p>
      <w:pPr>
        <w:pStyle w:val="Normální"/>
        <w:spacing w:line="360" w:lineRule="auto"/>
        <w:ind w:firstLine="720"/>
        <w:rPr>
          <w:rStyle w:val="Hyperlink.0"/>
          <w:rFonts w:ascii="Calibri" w:cs="Calibri" w:hAnsi="Calibri" w:eastAsia="Calibri"/>
          <w:sz w:val="22"/>
          <w:szCs w:val="22"/>
        </w:rPr>
      </w:pP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ta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mysl nyn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ech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 dosavadn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DDR4 pam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ěť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modul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sestaven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ch z 8Gb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na moduly s 16Gb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ipy. Spole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nost Kingston je proto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ipravena pomoct z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kazn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se zav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nov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technologi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a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it jejich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padn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probl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é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my s kompatibilitou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 vy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šší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hustotou na star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platform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ch. Nov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litografick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proces, pou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van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ý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pro 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robu 16Gb DRAM na waferu, umo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žň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uje dos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hnout nejen vy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šší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pam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ěť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hustoty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, ale z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rove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ň ú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spory energie oproti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edchoz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generaci 8Gb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, a 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tak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dr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 bateri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 mobiln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za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nebo sn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klad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ů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 datov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centrech. Spole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nost Kingston za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ala dod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vat 64GB moduly Registered DIMM v prosinci minul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é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ho roku a v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ervenci 2020 provedla tak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aktualizaci cel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</w:rPr>
        <w:fldChar w:fldCharType="begin" w:fldLock="0"/>
      </w:r>
      <w:r>
        <w:rPr>
          <w:rStyle w:val="Hyperlink.0"/>
          <w:rFonts w:ascii="Calibri" w:cs="Calibri" w:hAnsi="Calibri" w:eastAsia="Calibri"/>
          <w:sz w:val="22"/>
          <w:szCs w:val="22"/>
        </w:rPr>
        <w:instrText xml:space="preserve"> HYPERLINK "https://www.kingston.com/unitedkingdom/en/memory/server-memory?utm_source=pr"</w:instrText>
      </w:r>
      <w:r>
        <w:rPr>
          <w:rStyle w:val="Hyperlink.0"/>
          <w:rFonts w:ascii="Calibri" w:cs="Calibri" w:hAnsi="Calibri" w:eastAsia="Calibri"/>
          <w:sz w:val="22"/>
          <w:szCs w:val="22"/>
        </w:rPr>
        <w:fldChar w:fldCharType="separate" w:fldLock="0"/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produktov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é 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ady Server Premier</w:t>
      </w:r>
      <w:r>
        <w:rPr/>
        <w:fldChar w:fldCharType="end" w:fldLock="0"/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 na 16Gb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. </w:t>
      </w:r>
    </w:p>
    <w:p>
      <w:pPr>
        <w:pStyle w:val="Normální"/>
        <w:spacing w:line="360" w:lineRule="auto"/>
        <w:ind w:firstLine="720"/>
        <w:rPr>
          <w:rStyle w:val="Hyperlink.0"/>
          <w:rFonts w:ascii="Calibri" w:cs="Calibri" w:hAnsi="Calibri" w:eastAsia="Calibri"/>
          <w:sz w:val="22"/>
          <w:szCs w:val="22"/>
        </w:rPr>
      </w:pP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„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Mimo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dn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zniv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hodnocen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od TrendForce odr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áží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pokra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uj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r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st a upev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ň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postaven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ší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spole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nosti jako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edn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ho 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robce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DRAM pro 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strany,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“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uvedla Iwona Zalewska, obchodn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mana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erka Kingston Technology pro DRAM pam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ě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ti v regionu EMEA.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„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Na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e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pi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č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pozice na trhu 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umo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žň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uje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ú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zce spolupracovat s na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imi partnery a prodejci a tak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é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radit z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kazn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k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ů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m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i 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ř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echodu na 16Gb moduly. Nov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á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vylep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š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en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znamn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ě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podporuj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rozvoj cloud computingu, okrajov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datov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ý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ch center a s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í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t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í 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>5G.</w:t>
      </w:r>
      <w:r>
        <w:rPr>
          <w:rStyle w:val="Hyperlink.0"/>
          <w:rFonts w:ascii="Calibri" w:cs="Calibri" w:hAnsi="Calibri" w:eastAsia="Calibri"/>
          <w:sz w:val="22"/>
          <w:szCs w:val="22"/>
          <w:rtl w:val="0"/>
        </w:rPr>
        <w:t xml:space="preserve">“ </w:t>
      </w:r>
    </w:p>
    <w:p>
      <w:pPr>
        <w:pStyle w:val="Default"/>
        <w:spacing w:line="360" w:lineRule="auto"/>
        <w:ind w:left="416" w:firstLine="304"/>
        <w:rPr>
          <w:rStyle w:val="None"/>
          <w:rFonts w:ascii="Calibri" w:cs="Calibri" w:hAnsi="Calibri" w:eastAsia="Calibri"/>
          <w:sz w:val="22"/>
          <w:szCs w:val="22"/>
        </w:rPr>
      </w:pPr>
      <w:r>
        <w:rPr>
          <w:rStyle w:val="None"/>
          <w:rFonts w:ascii="Calibri" w:cs="Calibri" w:hAnsi="Calibri" w:eastAsia="Calibri"/>
          <w:sz w:val="22"/>
          <w:szCs w:val="22"/>
          <w:rtl w:val="0"/>
        </w:rPr>
        <w:t>V</w:t>
      </w:r>
      <w:r>
        <w:rPr>
          <w:rStyle w:val="None"/>
          <w:rFonts w:ascii="Calibri" w:cs="Calibri" w:hAnsi="Calibri" w:eastAsia="Calibri" w:hint="default"/>
          <w:sz w:val="22"/>
          <w:szCs w:val="22"/>
          <w:rtl w:val="0"/>
        </w:rPr>
        <w:t>í</w:t>
      </w:r>
      <w:r>
        <w:rPr>
          <w:rStyle w:val="None"/>
          <w:rFonts w:ascii="Calibri" w:cs="Calibri" w:hAnsi="Calibri" w:eastAsia="Calibri"/>
          <w:sz w:val="22"/>
          <w:szCs w:val="22"/>
          <w:rtl w:val="0"/>
          <w:lang w:val="es-ES_tradnl"/>
        </w:rPr>
        <w:t>ce informac</w:t>
      </w:r>
      <w:r>
        <w:rPr>
          <w:rStyle w:val="None"/>
          <w:rFonts w:ascii="Calibri" w:cs="Calibri" w:hAnsi="Calibri" w:eastAsia="Calibri" w:hint="default"/>
          <w:sz w:val="22"/>
          <w:szCs w:val="22"/>
          <w:rtl w:val="0"/>
        </w:rPr>
        <w:t xml:space="preserve">í </w:t>
      </w:r>
      <w:r>
        <w:rPr>
          <w:rStyle w:val="None"/>
          <w:rFonts w:ascii="Calibri" w:cs="Calibri" w:hAnsi="Calibri" w:eastAsia="Calibri"/>
          <w:sz w:val="22"/>
          <w:szCs w:val="22"/>
          <w:rtl w:val="0"/>
        </w:rPr>
        <w:t xml:space="preserve">najdete na </w:t>
      </w:r>
      <w:r>
        <w:rPr>
          <w:rStyle w:val="Hyperlink.1"/>
          <w:rFonts w:ascii="Calibri" w:cs="Calibri" w:hAnsi="Calibri" w:eastAsia="Calibri"/>
          <w:sz w:val="22"/>
          <w:szCs w:val="22"/>
        </w:rPr>
        <w:fldChar w:fldCharType="begin" w:fldLock="0"/>
      </w:r>
      <w:r>
        <w:rPr>
          <w:rStyle w:val="Hyperlink.1"/>
          <w:rFonts w:ascii="Calibri" w:cs="Calibri" w:hAnsi="Calibri" w:eastAsia="Calibri"/>
          <w:sz w:val="22"/>
          <w:szCs w:val="22"/>
        </w:rPr>
        <w:instrText xml:space="preserve"> HYPERLINK "https://www.kingston.com/unitedkingdom/en/?utm_source=pr"</w:instrText>
      </w:r>
      <w:r>
        <w:rPr>
          <w:rStyle w:val="Hyperlink.1"/>
          <w:rFonts w:ascii="Calibri" w:cs="Calibri" w:hAnsi="Calibri" w:eastAsia="Calibri"/>
          <w:sz w:val="22"/>
          <w:szCs w:val="22"/>
        </w:rPr>
        <w:fldChar w:fldCharType="separate" w:fldLock="0"/>
      </w:r>
      <w:r>
        <w:rPr>
          <w:rStyle w:val="Hyperlink.1"/>
          <w:rFonts w:ascii="Calibri" w:cs="Calibri" w:hAnsi="Calibri" w:eastAsia="Calibri"/>
          <w:sz w:val="22"/>
          <w:szCs w:val="22"/>
          <w:rtl w:val="0"/>
        </w:rPr>
        <w:t>kingston.com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Style w:val="None"/>
          <w:rFonts w:ascii="Calibri" w:cs="Calibri" w:hAnsi="Calibri" w:eastAsia="Calibri"/>
          <w:sz w:val="22"/>
          <w:szCs w:val="22"/>
          <w:rtl w:val="0"/>
        </w:rPr>
        <w:t>.</w:t>
      </w:r>
    </w:p>
    <w:p>
      <w:pPr>
        <w:pStyle w:val="Normální"/>
        <w:rPr>
          <w:rFonts w:ascii="Calibri" w:cs="Calibri" w:hAnsi="Calibri" w:eastAsia="Calibri"/>
          <w:sz w:val="22"/>
          <w:szCs w:val="22"/>
        </w:rPr>
      </w:pPr>
    </w:p>
    <w:p>
      <w:pPr>
        <w:pStyle w:val="Normální"/>
        <w:rPr>
          <w:rStyle w:val="None"/>
          <w:rFonts w:ascii="Calibri" w:cs="Calibri" w:hAnsi="Calibri" w:eastAsia="Calibri"/>
          <w:sz w:val="20"/>
          <w:szCs w:val="20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</w:rPr>
        <w:t>Informace o spole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</w:rPr>
        <w:t>č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</w:rPr>
        <w:t>nosti Kingston m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</w:rPr>
        <w:t>ůž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</w:rPr>
        <w:t>ete naj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</w:rPr>
        <w:t>í</w:t>
      </w: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</w:rPr>
        <w:t>t na:</w:t>
      </w:r>
      <w:r>
        <w:rPr>
          <w:rStyle w:val="None"/>
          <w:rFonts w:ascii="Calibri" w:cs="Calibri" w:hAnsi="Calibri" w:eastAsia="Calibri"/>
          <w:sz w:val="20"/>
          <w:szCs w:val="20"/>
          <w:rtl w:val="0"/>
        </w:rPr>
        <w:t xml:space="preserve"> </w:t>
      </w:r>
    </w:p>
    <w:p>
      <w:pPr>
        <w:pStyle w:val="Normální"/>
        <w:rPr>
          <w:rStyle w:val="None"/>
          <w:rFonts w:ascii="Calibri" w:cs="Calibri" w:hAnsi="Calibri" w:eastAsia="Calibri"/>
          <w:sz w:val="20"/>
          <w:szCs w:val="20"/>
        </w:rPr>
      </w:pPr>
      <w:r>
        <w:rPr>
          <w:rStyle w:val="None"/>
          <w:rFonts w:ascii="Calibri" w:cs="Calibri" w:hAnsi="Calibri" w:eastAsia="Calibri"/>
          <w:sz w:val="20"/>
          <w:szCs w:val="20"/>
          <w:rtl w:val="0"/>
        </w:rPr>
        <w:t xml:space="preserve">YouTube: </w: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begin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instrText xml:space="preserve"> HYPERLINK "http://www.youtube.com/kingstontechmemory"</w:instrTex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separate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  <w:rtl w:val="0"/>
        </w:rPr>
        <w:t>http://www.youtube.com/kingstontechmemory</w:t>
      </w:r>
      <w:r>
        <w:rPr/>
        <w:fldChar w:fldCharType="end" w:fldLock="0"/>
      </w:r>
    </w:p>
    <w:p>
      <w:pPr>
        <w:pStyle w:val="Normální"/>
        <w:rPr>
          <w:rStyle w:val="None"/>
          <w:rFonts w:ascii="Calibri" w:cs="Calibri" w:hAnsi="Calibri" w:eastAsia="Calibri"/>
          <w:sz w:val="20"/>
          <w:szCs w:val="20"/>
        </w:rPr>
      </w:pPr>
      <w:r>
        <w:rPr>
          <w:rStyle w:val="None"/>
          <w:rFonts w:ascii="Calibri" w:cs="Calibri" w:hAnsi="Calibri" w:eastAsia="Calibri"/>
          <w:sz w:val="20"/>
          <w:szCs w:val="20"/>
          <w:rtl w:val="0"/>
        </w:rPr>
        <w:t xml:space="preserve">Facebook: </w: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begin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instrText xml:space="preserve"> HYPERLINK "http://www.facebook.com/kingstontechnologyeurope"</w:instrTex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separate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  <w:rtl w:val="0"/>
        </w:rPr>
        <w:t>http://www.facebook.com/kingstontechnologyeurope</w:t>
      </w:r>
      <w:r>
        <w:rPr/>
        <w:fldChar w:fldCharType="end" w:fldLock="0"/>
      </w:r>
      <w:r>
        <w:rPr>
          <w:rStyle w:val="None"/>
          <w:rFonts w:ascii="Calibri" w:cs="Calibri" w:hAnsi="Calibri" w:eastAsia="Calibri"/>
          <w:sz w:val="20"/>
          <w:szCs w:val="20"/>
          <w:rtl w:val="0"/>
        </w:rPr>
        <w:t xml:space="preserve"> </w:t>
      </w:r>
    </w:p>
    <w:p>
      <w:pPr>
        <w:pStyle w:val="Normální"/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</w:pPr>
      <w:r>
        <w:rPr>
          <w:rStyle w:val="None"/>
          <w:rFonts w:ascii="Calibri" w:cs="Calibri" w:hAnsi="Calibri" w:eastAsia="Calibri"/>
          <w:sz w:val="20"/>
          <w:szCs w:val="20"/>
          <w:rtl w:val="0"/>
        </w:rPr>
        <w:t xml:space="preserve">Twitter: </w: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begin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instrText xml:space="preserve"> HYPERLINK "https://twitter.com/KingstonTech"</w:instrTex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separate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  <w:rtl w:val="0"/>
        </w:rPr>
        <w:t>https://twitter.com/KingstonTech</w:t>
      </w:r>
      <w:r>
        <w:rPr/>
        <w:fldChar w:fldCharType="end" w:fldLock="0"/>
      </w:r>
    </w:p>
    <w:p>
      <w:pPr>
        <w:pStyle w:val="Normální"/>
        <w:rPr>
          <w:rStyle w:val="None"/>
          <w:rFonts w:ascii="Calibri" w:cs="Calibri" w:hAnsi="Calibri" w:eastAsia="Calibri"/>
          <w:sz w:val="20"/>
          <w:szCs w:val="20"/>
        </w:rPr>
      </w:pPr>
      <w:r>
        <w:rPr>
          <w:rStyle w:val="None"/>
          <w:rFonts w:ascii="Calibri" w:cs="Calibri" w:hAnsi="Calibri" w:eastAsia="Calibri"/>
          <w:sz w:val="20"/>
          <w:szCs w:val="20"/>
          <w:rtl w:val="0"/>
        </w:rPr>
        <w:t xml:space="preserve">Instagram: </w: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begin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instrText xml:space="preserve"> HYPERLINK "https://www.instagram.com/kingstontechnology"</w:instrTex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separate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  <w:rtl w:val="0"/>
        </w:rPr>
        <w:t>https://www.instagram.com/kingstontechnology</w:t>
      </w:r>
      <w:r>
        <w:rPr/>
        <w:fldChar w:fldCharType="end" w:fldLock="0"/>
      </w:r>
    </w:p>
    <w:p>
      <w:pPr>
        <w:pStyle w:val="Normální"/>
        <w:rPr>
          <w:rStyle w:val="None"/>
          <w:rFonts w:ascii="Calibri" w:cs="Calibri" w:hAnsi="Calibri" w:eastAsia="Calibri"/>
          <w:sz w:val="20"/>
          <w:szCs w:val="20"/>
        </w:rPr>
      </w:pPr>
      <w:r>
        <w:rPr>
          <w:rStyle w:val="None"/>
          <w:rFonts w:ascii="Calibri" w:cs="Calibri" w:hAnsi="Calibri" w:eastAsia="Calibri"/>
          <w:sz w:val="20"/>
          <w:szCs w:val="20"/>
          <w:rtl w:val="0"/>
        </w:rPr>
        <w:t xml:space="preserve">LinkedIn: </w: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begin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instrText xml:space="preserve"> HYPERLINK "http://www.linkedin.com/company/kingston"</w:instrText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</w:rPr>
        <w:fldChar w:fldCharType="separate" w:fldLock="0"/>
      </w:r>
      <w:r>
        <w:rPr>
          <w:rStyle w:val="Hyperlink.2"/>
          <w:rFonts w:ascii="Calibri" w:cs="Calibri" w:hAnsi="Calibri" w:eastAsia="Calibri"/>
          <w:color w:val="0000ff"/>
          <w:sz w:val="20"/>
          <w:szCs w:val="20"/>
          <w:u w:val="single" w:color="0000ff"/>
          <w:rtl w:val="0"/>
        </w:rPr>
        <w:t>http://www.linkedin.com/company/kingston</w:t>
      </w:r>
      <w:r>
        <w:rPr/>
        <w:fldChar w:fldCharType="end" w:fldLock="0"/>
      </w:r>
    </w:p>
    <w:p>
      <w:pPr>
        <w:pStyle w:val="Normální"/>
        <w:rPr>
          <w:rFonts w:ascii="Calibri" w:cs="Calibri" w:hAnsi="Calibri" w:eastAsia="Calibri"/>
          <w:sz w:val="20"/>
          <w:szCs w:val="20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0"/>
          <w:szCs w:val="20"/>
        </w:rPr>
      </w:pPr>
      <w:r>
        <w:rPr>
          <w:rStyle w:val="None"/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Kingston Technology Europe Co LLP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  <w:rtl w:val="0"/>
        </w:rPr>
        <w:t>Kingston Digital Europe Co LLP je dce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</w:t>
      </w:r>
      <w:r>
        <w:rPr>
          <w:rStyle w:val="None"/>
          <w:rFonts w:ascii="Times New Roman" w:hAnsi="Times New Roman"/>
          <w:sz w:val="20"/>
          <w:szCs w:val="20"/>
          <w:rtl w:val="0"/>
        </w:rPr>
        <w:t>inou spole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nost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Kingston Technology Company, Inc., nejv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ší</w:t>
      </w:r>
      <w:r>
        <w:rPr>
          <w:rStyle w:val="None"/>
          <w:rFonts w:ascii="Times New Roman" w:hAnsi="Times New Roman"/>
          <w:sz w:val="20"/>
          <w:szCs w:val="20"/>
          <w:rtl w:val="0"/>
        </w:rPr>
        <w:t>ho sv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tov</w:t>
      </w:r>
      <w:r>
        <w:rPr>
          <w:rStyle w:val="None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0"/>
          <w:szCs w:val="20"/>
          <w:rtl w:val="0"/>
        </w:rPr>
        <w:t>ho nez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visl</w:t>
      </w:r>
      <w:r>
        <w:rPr>
          <w:rStyle w:val="None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0"/>
          <w:szCs w:val="20"/>
          <w:rtl w:val="0"/>
        </w:rPr>
        <w:t>ho 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robce pam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ěť</w:t>
      </w:r>
      <w:r>
        <w:rPr>
          <w:rStyle w:val="None"/>
          <w:rFonts w:ascii="Times New Roman" w:hAnsi="Times New Roman"/>
          <w:sz w:val="20"/>
          <w:szCs w:val="20"/>
          <w:rtl w:val="0"/>
        </w:rPr>
        <w:t>ov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ch produkt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ů</w:t>
      </w:r>
      <w:r>
        <w:rPr>
          <w:rStyle w:val="None"/>
          <w:rFonts w:ascii="Times New Roman" w:hAnsi="Times New Roman"/>
          <w:sz w:val="20"/>
          <w:szCs w:val="20"/>
          <w:rtl w:val="0"/>
        </w:rPr>
        <w:t>. Spole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nost Kingston prost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</w:t>
      </w:r>
      <w:r>
        <w:rPr>
          <w:rStyle w:val="None"/>
          <w:rFonts w:ascii="Times New Roman" w:hAnsi="Times New Roman"/>
          <w:sz w:val="20"/>
          <w:szCs w:val="20"/>
          <w:rtl w:val="0"/>
        </w:rPr>
        <w:t>ednictv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m svoj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glob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ln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s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ě </w:t>
      </w:r>
      <w:r>
        <w:rPr>
          <w:rStyle w:val="None"/>
          <w:rFonts w:ascii="Times New Roman" w:hAnsi="Times New Roman"/>
          <w:sz w:val="20"/>
          <w:szCs w:val="20"/>
          <w:rtl w:val="0"/>
        </w:rPr>
        <w:t>dce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</w:t>
      </w:r>
      <w:r>
        <w:rPr>
          <w:rStyle w:val="None"/>
          <w:rFonts w:ascii="Times New Roman" w:hAnsi="Times New Roman"/>
          <w:sz w:val="20"/>
          <w:szCs w:val="20"/>
          <w:rtl w:val="0"/>
        </w:rPr>
        <w:t>in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ch spole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nost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, pobo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ek a 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robn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ch za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ří</w:t>
      </w:r>
      <w:r>
        <w:rPr>
          <w:rStyle w:val="None"/>
          <w:rFonts w:ascii="Times New Roman" w:hAnsi="Times New Roman"/>
          <w:sz w:val="20"/>
          <w:szCs w:val="20"/>
          <w:rtl w:val="0"/>
        </w:rPr>
        <w:t>zen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navrhuje, vyr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b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, testuje a distribuuje pam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  <w:lang w:val="da-DK"/>
        </w:rPr>
        <w:t>ti DRAM, flash a vestav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á </w:t>
      </w:r>
      <w:r>
        <w:rPr>
          <w:rStyle w:val="None"/>
          <w:rFonts w:ascii="Times New Roman" w:hAnsi="Times New Roman"/>
          <w:sz w:val="20"/>
          <w:szCs w:val="20"/>
          <w:rtl w:val="0"/>
        </w:rPr>
        <w:t>pam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ěť</w:t>
      </w:r>
      <w:r>
        <w:rPr>
          <w:rStyle w:val="None"/>
          <w:rFonts w:ascii="Times New Roman" w:hAnsi="Times New Roman"/>
          <w:sz w:val="20"/>
          <w:szCs w:val="20"/>
          <w:rtl w:val="0"/>
        </w:rPr>
        <w:t>ov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 ř</w:t>
      </w:r>
      <w:r>
        <w:rPr>
          <w:rStyle w:val="None"/>
          <w:rFonts w:ascii="Times New Roman" w:hAnsi="Times New Roman"/>
          <w:sz w:val="20"/>
          <w:szCs w:val="20"/>
          <w:rtl w:val="0"/>
        </w:rPr>
        <w:t>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š</w:t>
      </w:r>
      <w:r>
        <w:rPr>
          <w:rStyle w:val="None"/>
          <w:rFonts w:ascii="Times New Roman" w:hAnsi="Times New Roman"/>
          <w:sz w:val="20"/>
          <w:szCs w:val="20"/>
          <w:rtl w:val="0"/>
        </w:rPr>
        <w:t>en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. Spole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  <w:lang w:val="en-US"/>
        </w:rPr>
        <w:t>nost Kingston m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á </w:t>
      </w:r>
      <w:r>
        <w:rPr>
          <w:rStyle w:val="None"/>
          <w:rFonts w:ascii="Times New Roman" w:hAnsi="Times New Roman"/>
          <w:sz w:val="20"/>
          <w:szCs w:val="20"/>
          <w:rtl w:val="0"/>
        </w:rPr>
        <w:t>obchodn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pobo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</w:t>
      </w:r>
      <w:r>
        <w:rPr>
          <w:rStyle w:val="None"/>
          <w:rFonts w:ascii="Times New Roman" w:hAnsi="Times New Roman"/>
          <w:sz w:val="20"/>
          <w:szCs w:val="20"/>
          <w:rtl w:val="0"/>
        </w:rPr>
        <w:t>ky a z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stupce ve Spojen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ý</w:t>
      </w:r>
      <w:r>
        <w:rPr>
          <w:rStyle w:val="None"/>
          <w:rFonts w:ascii="Times New Roman" w:hAnsi="Times New Roman"/>
          <w:sz w:val="20"/>
          <w:szCs w:val="20"/>
          <w:rtl w:val="0"/>
        </w:rPr>
        <w:t>ch st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tech, v Kanad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, v Evrop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, v Rusku, v Turecku, na Ukrajin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ě</w:t>
      </w:r>
      <w:r>
        <w:rPr>
          <w:rStyle w:val="None"/>
          <w:rFonts w:ascii="Times New Roman" w:hAnsi="Times New Roman"/>
          <w:sz w:val="20"/>
          <w:szCs w:val="20"/>
          <w:rtl w:val="0"/>
        </w:rPr>
        <w:t>, v Austr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 xml:space="preserve">lii, v Indii, na Taiwanu, v 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Čí</w:t>
      </w:r>
      <w:r>
        <w:rPr>
          <w:rStyle w:val="None"/>
          <w:rFonts w:ascii="Times New Roman" w:hAnsi="Times New Roman"/>
          <w:sz w:val="20"/>
          <w:szCs w:val="20"/>
          <w:rtl w:val="0"/>
        </w:rPr>
        <w:t>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ě </w:t>
      </w:r>
      <w:r>
        <w:rPr>
          <w:rStyle w:val="None"/>
          <w:rFonts w:ascii="Times New Roman" w:hAnsi="Times New Roman"/>
          <w:sz w:val="20"/>
          <w:szCs w:val="20"/>
          <w:rtl w:val="0"/>
        </w:rPr>
        <w:t>a v Latinsk</w:t>
      </w:r>
      <w:r>
        <w:rPr>
          <w:rStyle w:val="None"/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0"/>
          <w:szCs w:val="20"/>
          <w:rtl w:val="0"/>
        </w:rPr>
        <w:t>Americe. Pro z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í</w:t>
      </w:r>
      <w:r>
        <w:rPr>
          <w:rStyle w:val="None"/>
          <w:rFonts w:ascii="Times New Roman" w:hAnsi="Times New Roman"/>
          <w:sz w:val="20"/>
          <w:szCs w:val="20"/>
          <w:rtl w:val="0"/>
        </w:rPr>
        <w:t>sk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á</w:t>
      </w:r>
      <w:r>
        <w:rPr>
          <w:rStyle w:val="None"/>
          <w:rFonts w:ascii="Times New Roman" w:hAnsi="Times New Roman"/>
          <w:sz w:val="20"/>
          <w:szCs w:val="20"/>
          <w:rtl w:val="0"/>
        </w:rPr>
        <w:t>n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  <w:lang w:val="it-IT"/>
        </w:rPr>
        <w:t>dal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ší</w:t>
      </w:r>
      <w:r>
        <w:rPr>
          <w:rStyle w:val="None"/>
          <w:rFonts w:ascii="Times New Roman" w:hAnsi="Times New Roman"/>
          <w:sz w:val="20"/>
          <w:szCs w:val="20"/>
          <w:rtl w:val="0"/>
        </w:rPr>
        <w:t>ch informac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 xml:space="preserve">í </w:t>
      </w:r>
      <w:r>
        <w:rPr>
          <w:rStyle w:val="None"/>
          <w:rFonts w:ascii="Times New Roman" w:hAnsi="Times New Roman"/>
          <w:sz w:val="20"/>
          <w:szCs w:val="20"/>
          <w:rtl w:val="0"/>
        </w:rPr>
        <w:t>volejte +44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None"/>
          <w:rFonts w:ascii="Times New Roman" w:hAnsi="Times New Roman"/>
          <w:sz w:val="20"/>
          <w:szCs w:val="20"/>
          <w:rtl w:val="0"/>
        </w:rPr>
        <w:t>(0)1932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 </w:t>
      </w:r>
      <w:r>
        <w:rPr>
          <w:rStyle w:val="None"/>
          <w:rFonts w:ascii="Times New Roman" w:hAnsi="Times New Roman"/>
          <w:sz w:val="20"/>
          <w:szCs w:val="20"/>
          <w:rtl w:val="0"/>
        </w:rPr>
        <w:t>738888 nebo nav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š</w:t>
      </w:r>
      <w:r>
        <w:rPr>
          <w:rStyle w:val="None"/>
          <w:rFonts w:ascii="Times New Roman" w:hAnsi="Times New Roman"/>
          <w:sz w:val="20"/>
          <w:szCs w:val="20"/>
          <w:rtl w:val="0"/>
        </w:rPr>
        <w:t xml:space="preserve">tivte </w:t>
      </w:r>
      <w:r>
        <w:rPr>
          <w:rStyle w:val="Hyperlink.3"/>
          <w:rFonts w:ascii="Times New Roman" w:cs="Times New Roman" w:hAnsi="Times New Roman" w:eastAsia="Times New Roman"/>
          <w:sz w:val="20"/>
          <w:szCs w:val="20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sz w:val="20"/>
          <w:szCs w:val="20"/>
        </w:rPr>
        <w:instrText xml:space="preserve"> HYPERLINK "https://www.kingston.com/en"</w:instrText>
      </w:r>
      <w:r>
        <w:rPr>
          <w:rStyle w:val="Hyperlink.3"/>
          <w:rFonts w:ascii="Times New Roman" w:cs="Times New Roman" w:hAnsi="Times New Roman" w:eastAsia="Times New Roman"/>
          <w:sz w:val="20"/>
          <w:szCs w:val="20"/>
        </w:rPr>
        <w:fldChar w:fldCharType="separate" w:fldLock="0"/>
      </w:r>
      <w:r>
        <w:rPr>
          <w:rStyle w:val="Hyperlink.3"/>
          <w:rFonts w:ascii="Times New Roman" w:hAnsi="Times New Roman"/>
          <w:sz w:val="20"/>
          <w:szCs w:val="20"/>
          <w:rtl w:val="0"/>
        </w:rPr>
        <w:t>www.kingston.com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None"/>
          <w:rFonts w:ascii="Times New Roman" w:hAnsi="Times New Roman"/>
          <w:sz w:val="20"/>
          <w:szCs w:val="20"/>
          <w:rtl w:val="0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16"/>
          <w:szCs w:val="16"/>
        </w:rPr>
      </w:pPr>
      <w:r>
        <w:rPr>
          <w:rStyle w:val="None"/>
          <w:rFonts w:ascii="Times New Roman" w:hAnsi="Times New Roman"/>
          <w:b w:val="1"/>
          <w:bCs w:val="1"/>
          <w:sz w:val="16"/>
          <w:szCs w:val="16"/>
          <w:rtl w:val="0"/>
          <w:lang w:val="de-DE"/>
        </w:rPr>
        <w:t>Redak</w:t>
      </w:r>
      <w:r>
        <w:rPr>
          <w:rStyle w:val="None"/>
          <w:rFonts w:ascii="Times New Roman" w:hAnsi="Times New Roman" w:hint="default"/>
          <w:b w:val="1"/>
          <w:bCs w:val="1"/>
          <w:sz w:val="16"/>
          <w:szCs w:val="16"/>
          <w:rtl w:val="0"/>
        </w:rPr>
        <w:t>č</w:t>
      </w:r>
      <w:r>
        <w:rPr>
          <w:rStyle w:val="None"/>
          <w:rFonts w:ascii="Times New Roman" w:hAnsi="Times New Roman"/>
          <w:b w:val="1"/>
          <w:bCs w:val="1"/>
          <w:sz w:val="16"/>
          <w:szCs w:val="16"/>
          <w:rtl w:val="0"/>
        </w:rPr>
        <w:t>n</w:t>
      </w:r>
      <w:r>
        <w:rPr>
          <w:rStyle w:val="None"/>
          <w:rFonts w:ascii="Times New Roman" w:hAnsi="Times New Roman" w:hint="default"/>
          <w:b w:val="1"/>
          <w:bCs w:val="1"/>
          <w:sz w:val="16"/>
          <w:szCs w:val="16"/>
          <w:rtl w:val="0"/>
        </w:rPr>
        <w:t xml:space="preserve">í </w:t>
      </w:r>
      <w:r>
        <w:rPr>
          <w:rStyle w:val="None"/>
          <w:rFonts w:ascii="Times New Roman" w:hAnsi="Times New Roman"/>
          <w:b w:val="1"/>
          <w:bCs w:val="1"/>
          <w:sz w:val="16"/>
          <w:szCs w:val="16"/>
          <w:rtl w:val="0"/>
        </w:rPr>
        <w:t>pozn</w:t>
      </w:r>
      <w:r>
        <w:rPr>
          <w:rStyle w:val="None"/>
          <w:rFonts w:ascii="Times New Roman" w:hAnsi="Times New Roman" w:hint="default"/>
          <w:b w:val="1"/>
          <w:bCs w:val="1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b w:val="1"/>
          <w:bCs w:val="1"/>
          <w:sz w:val="16"/>
          <w:szCs w:val="16"/>
          <w:rtl w:val="0"/>
        </w:rPr>
        <w:t>mka:</w:t>
      </w:r>
      <w:r>
        <w:rPr>
          <w:rStyle w:val="None"/>
          <w:rFonts w:ascii="Times New Roman" w:hAnsi="Times New Roman"/>
          <w:sz w:val="16"/>
          <w:szCs w:val="16"/>
          <w:rtl w:val="0"/>
        </w:rPr>
        <w:t xml:space="preserve"> Pokud m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  <w:lang w:val="nl-NL"/>
        </w:rPr>
        <w:t>te z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</w:rPr>
        <w:t>jem o dal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ší </w:t>
      </w:r>
      <w:r>
        <w:rPr>
          <w:rStyle w:val="None"/>
          <w:rFonts w:ascii="Times New Roman" w:hAnsi="Times New Roman"/>
          <w:sz w:val="16"/>
          <w:szCs w:val="16"/>
          <w:rtl w:val="0"/>
        </w:rPr>
        <w:t>informace, testovac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í </w:t>
      </w:r>
      <w:r>
        <w:rPr>
          <w:rStyle w:val="None"/>
          <w:rFonts w:ascii="Times New Roman" w:hAnsi="Times New Roman"/>
          <w:sz w:val="16"/>
          <w:szCs w:val="16"/>
          <w:rtl w:val="0"/>
        </w:rPr>
        <w:t>produkty nebo rozhovory s vedouc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í</w:t>
      </w:r>
      <w:r>
        <w:rPr>
          <w:rStyle w:val="None"/>
          <w:rFonts w:ascii="Times New Roman" w:hAnsi="Times New Roman"/>
          <w:sz w:val="16"/>
          <w:szCs w:val="16"/>
          <w:rtl w:val="0"/>
        </w:rPr>
        <w:t>mi pracovn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í</w:t>
      </w:r>
      <w:r>
        <w:rPr>
          <w:rStyle w:val="None"/>
          <w:rFonts w:ascii="Times New Roman" w:hAnsi="Times New Roman"/>
          <w:sz w:val="16"/>
          <w:szCs w:val="16"/>
          <w:rtl w:val="0"/>
        </w:rPr>
        <w:t>ky, kontaktujte pros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í</w:t>
      </w:r>
      <w:r>
        <w:rPr>
          <w:rStyle w:val="None"/>
          <w:rFonts w:ascii="Times New Roman" w:hAnsi="Times New Roman"/>
          <w:sz w:val="16"/>
          <w:szCs w:val="16"/>
          <w:rtl w:val="0"/>
          <w:lang w:val="en-US"/>
        </w:rPr>
        <w:t>m Debbie Fowler, Kingston Technology Europe Co LLP, Kingston Court, Brooklands Close, Sunbury-on-Thames, TW16 7EP. Obr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</w:rPr>
        <w:t>zky pro m</w:t>
      </w:r>
      <w:r>
        <w:rPr>
          <w:rStyle w:val="None"/>
          <w:rFonts w:ascii="Times New Roman" w:hAnsi="Times New Roman" w:hint="default"/>
          <w:sz w:val="16"/>
          <w:szCs w:val="16"/>
          <w:rtl w:val="0"/>
          <w:lang w:val="fr-FR"/>
        </w:rPr>
        <w:t>é</w:t>
      </w:r>
      <w:r>
        <w:rPr>
          <w:rStyle w:val="None"/>
          <w:rFonts w:ascii="Times New Roman" w:hAnsi="Times New Roman"/>
          <w:sz w:val="16"/>
          <w:szCs w:val="16"/>
          <w:rtl w:val="0"/>
        </w:rPr>
        <w:t>dia je mo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ž</w:t>
      </w:r>
      <w:r>
        <w:rPr>
          <w:rStyle w:val="None"/>
          <w:rFonts w:ascii="Times New Roman" w:hAnsi="Times New Roman"/>
          <w:sz w:val="16"/>
          <w:szCs w:val="16"/>
          <w:rtl w:val="0"/>
        </w:rPr>
        <w:t>n</w:t>
      </w:r>
      <w:r>
        <w:rPr>
          <w:rStyle w:val="None"/>
          <w:rFonts w:ascii="Times New Roman" w:hAnsi="Times New Roman" w:hint="default"/>
          <w:sz w:val="16"/>
          <w:szCs w:val="16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16"/>
          <w:szCs w:val="16"/>
          <w:rtl w:val="0"/>
        </w:rPr>
        <w:t>naj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í</w:t>
      </w:r>
      <w:r>
        <w:rPr>
          <w:rStyle w:val="None"/>
          <w:rFonts w:ascii="Times New Roman" w:hAnsi="Times New Roman"/>
          <w:sz w:val="16"/>
          <w:szCs w:val="16"/>
          <w:rtl w:val="0"/>
        </w:rPr>
        <w:t>t na propaga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č</w:t>
      </w:r>
      <w:r>
        <w:rPr>
          <w:rStyle w:val="None"/>
          <w:rFonts w:ascii="Times New Roman" w:hAnsi="Times New Roman"/>
          <w:sz w:val="16"/>
          <w:szCs w:val="16"/>
          <w:rtl w:val="0"/>
        </w:rPr>
        <w:t>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í </w:t>
      </w:r>
      <w:r>
        <w:rPr>
          <w:rStyle w:val="None"/>
          <w:rFonts w:ascii="Times New Roman" w:hAnsi="Times New Roman"/>
          <w:sz w:val="16"/>
          <w:szCs w:val="16"/>
          <w:rtl w:val="0"/>
        </w:rPr>
        <w:t>str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  <w:lang w:val="en-US"/>
        </w:rPr>
        <w:t xml:space="preserve">nce Kingston </w:t>
      </w:r>
      <w:r>
        <w:rPr>
          <w:rStyle w:val="Hyperlink.4"/>
          <w:rFonts w:ascii="Times New Roman" w:cs="Times New Roman" w:hAnsi="Times New Roman" w:eastAsia="Times New Roman"/>
          <w:sz w:val="16"/>
          <w:szCs w:val="16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16"/>
          <w:szCs w:val="16"/>
        </w:rPr>
        <w:instrText xml:space="preserve"> HYPERLINK "https://www.kingston.com/en/company/press"</w:instrText>
      </w:r>
      <w:r>
        <w:rPr>
          <w:rStyle w:val="Hyperlink.4"/>
          <w:rFonts w:ascii="Times New Roman" w:cs="Times New Roman" w:hAnsi="Times New Roman" w:eastAsia="Times New Roman"/>
          <w:sz w:val="16"/>
          <w:szCs w:val="16"/>
        </w:rPr>
        <w:fldChar w:fldCharType="separate" w:fldLock="0"/>
      </w:r>
      <w:r>
        <w:rPr>
          <w:rStyle w:val="Hyperlink.4"/>
          <w:rFonts w:ascii="Times New Roman" w:hAnsi="Times New Roman"/>
          <w:sz w:val="16"/>
          <w:szCs w:val="16"/>
          <w:rtl w:val="0"/>
        </w:rPr>
        <w:t>zde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None"/>
          <w:rFonts w:ascii="Times New Roman" w:hAnsi="Times New Roman"/>
          <w:sz w:val="16"/>
          <w:szCs w:val="16"/>
          <w:rtl w:val="0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16"/>
          <w:szCs w:val="16"/>
          <w:u w:val="single"/>
        </w:rPr>
      </w:pPr>
    </w:p>
    <w:p>
      <w:pPr>
        <w:pStyle w:val="Body Text 3"/>
        <w:jc w:val="center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rtl w:val="0"/>
        </w:rPr>
        <w:t>#  #  #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16"/>
          <w:szCs w:val="16"/>
        </w:rPr>
      </w:pPr>
      <w:r>
        <w:rPr>
          <w:rStyle w:val="None"/>
          <w:rFonts w:ascii="Times New Roman" w:hAnsi="Times New Roman"/>
          <w:sz w:val="16"/>
          <w:szCs w:val="16"/>
          <w:rtl w:val="0"/>
        </w:rPr>
        <w:t>Kingston a logo Kingston jsou registrovan</w:t>
      </w:r>
      <w:r>
        <w:rPr>
          <w:rStyle w:val="None"/>
          <w:rFonts w:ascii="Times New Roman" w:hAnsi="Times New Roman" w:hint="default"/>
          <w:sz w:val="16"/>
          <w:szCs w:val="16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16"/>
          <w:szCs w:val="16"/>
          <w:rtl w:val="0"/>
        </w:rPr>
        <w:t>ochrann</w:t>
      </w:r>
      <w:r>
        <w:rPr>
          <w:rStyle w:val="None"/>
          <w:rFonts w:ascii="Times New Roman" w:hAnsi="Times New Roman" w:hint="default"/>
          <w:sz w:val="16"/>
          <w:szCs w:val="16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16"/>
          <w:szCs w:val="16"/>
          <w:rtl w:val="0"/>
        </w:rPr>
        <w:t>zn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</w:rPr>
        <w:t>mky Kingston Technology Corporation. IronKey je registrovan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á </w:t>
      </w:r>
      <w:r>
        <w:rPr>
          <w:rStyle w:val="None"/>
          <w:rFonts w:ascii="Times New Roman" w:hAnsi="Times New Roman"/>
          <w:sz w:val="16"/>
          <w:szCs w:val="16"/>
          <w:rtl w:val="0"/>
        </w:rPr>
        <w:t>ochrann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 xml:space="preserve">á </w:t>
      </w:r>
      <w:r>
        <w:rPr>
          <w:rStyle w:val="None"/>
          <w:rFonts w:ascii="Times New Roman" w:hAnsi="Times New Roman"/>
          <w:sz w:val="16"/>
          <w:szCs w:val="16"/>
          <w:rtl w:val="0"/>
        </w:rPr>
        <w:t>zn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</w:rPr>
        <w:t>mka spole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č</w:t>
      </w:r>
      <w:r>
        <w:rPr>
          <w:rStyle w:val="None"/>
          <w:rFonts w:ascii="Times New Roman" w:hAnsi="Times New Roman"/>
          <w:sz w:val="16"/>
          <w:szCs w:val="16"/>
          <w:rtl w:val="0"/>
        </w:rPr>
        <w:t>nosti Kingston Digital, Inc. V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š</w:t>
      </w:r>
      <w:r>
        <w:rPr>
          <w:rStyle w:val="None"/>
          <w:rFonts w:ascii="Times New Roman" w:hAnsi="Times New Roman"/>
          <w:sz w:val="16"/>
          <w:szCs w:val="16"/>
          <w:rtl w:val="0"/>
        </w:rPr>
        <w:t>echna pr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</w:rPr>
        <w:t>va vyhrazena. V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š</w:t>
      </w:r>
      <w:r>
        <w:rPr>
          <w:rStyle w:val="None"/>
          <w:rFonts w:ascii="Times New Roman" w:hAnsi="Times New Roman"/>
          <w:sz w:val="16"/>
          <w:szCs w:val="16"/>
          <w:rtl w:val="0"/>
        </w:rPr>
        <w:t>echny ochrann</w:t>
      </w:r>
      <w:r>
        <w:rPr>
          <w:rStyle w:val="None"/>
          <w:rFonts w:ascii="Times New Roman" w:hAnsi="Times New Roman" w:hint="default"/>
          <w:sz w:val="16"/>
          <w:szCs w:val="16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16"/>
          <w:szCs w:val="16"/>
          <w:rtl w:val="0"/>
        </w:rPr>
        <w:t>zn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á</w:t>
      </w:r>
      <w:r>
        <w:rPr>
          <w:rStyle w:val="None"/>
          <w:rFonts w:ascii="Times New Roman" w:hAnsi="Times New Roman"/>
          <w:sz w:val="16"/>
          <w:szCs w:val="16"/>
          <w:rtl w:val="0"/>
        </w:rPr>
        <w:t>mky jsou majetkem p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ří</w:t>
      </w:r>
      <w:r>
        <w:rPr>
          <w:rStyle w:val="None"/>
          <w:rFonts w:ascii="Times New Roman" w:hAnsi="Times New Roman"/>
          <w:sz w:val="16"/>
          <w:szCs w:val="16"/>
          <w:rtl w:val="0"/>
        </w:rPr>
        <w:t>slu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š</w:t>
      </w:r>
      <w:r>
        <w:rPr>
          <w:rStyle w:val="None"/>
          <w:rFonts w:ascii="Times New Roman" w:hAnsi="Times New Roman"/>
          <w:sz w:val="16"/>
          <w:szCs w:val="16"/>
          <w:rtl w:val="0"/>
        </w:rPr>
        <w:t>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ý</w:t>
      </w:r>
      <w:r>
        <w:rPr>
          <w:rStyle w:val="None"/>
          <w:rFonts w:ascii="Times New Roman" w:hAnsi="Times New Roman"/>
          <w:sz w:val="16"/>
          <w:szCs w:val="16"/>
          <w:rtl w:val="0"/>
        </w:rPr>
        <w:t>ch vlastn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í</w:t>
      </w:r>
      <w:r>
        <w:rPr>
          <w:rStyle w:val="None"/>
          <w:rFonts w:ascii="Times New Roman" w:hAnsi="Times New Roman"/>
          <w:sz w:val="16"/>
          <w:szCs w:val="16"/>
          <w:rtl w:val="0"/>
        </w:rPr>
        <w:t>k</w:t>
      </w:r>
      <w:r>
        <w:rPr>
          <w:rStyle w:val="None"/>
          <w:rFonts w:ascii="Times New Roman" w:hAnsi="Times New Roman" w:hint="default"/>
          <w:sz w:val="16"/>
          <w:szCs w:val="16"/>
          <w:rtl w:val="0"/>
        </w:rPr>
        <w:t>ů</w:t>
      </w:r>
      <w:r>
        <w:rPr>
          <w:rStyle w:val="None"/>
          <w:rFonts w:ascii="Times New Roman" w:hAnsi="Times New Roman"/>
          <w:sz w:val="16"/>
          <w:szCs w:val="16"/>
          <w:rtl w:val="0"/>
        </w:rPr>
        <w:t>.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b w:val="1"/>
          <w:bCs w:val="1"/>
          <w:sz w:val="20"/>
          <w:szCs w:val="20"/>
        </w:rPr>
      </w:pPr>
    </w:p>
    <w:p>
      <w:pPr>
        <w:pStyle w:val="Normální"/>
        <w:rPr>
          <w:rStyle w:val="None"/>
          <w:rFonts w:ascii="Times New Roman" w:cs="Times New Roman" w:hAnsi="Times New Roman" w:eastAsia="Times New Roman"/>
          <w:sz w:val="20"/>
          <w:szCs w:val="20"/>
        </w:rPr>
      </w:pPr>
      <w:r>
        <w:rPr>
          <w:rStyle w:val="None"/>
          <w:rFonts w:ascii="Times New Roman" w:hAnsi="Times New Roman"/>
          <w:b w:val="1"/>
          <w:bCs w:val="1"/>
          <w:sz w:val="20"/>
          <w:szCs w:val="20"/>
          <w:rtl w:val="0"/>
        </w:rPr>
        <w:t>Kontakty pro m</w:t>
      </w:r>
      <w:r>
        <w:rPr>
          <w:rStyle w:val="None"/>
          <w:rFonts w:ascii="Times New Roman" w:hAnsi="Times New Roman" w:hint="default"/>
          <w:b w:val="1"/>
          <w:bCs w:val="1"/>
          <w:sz w:val="20"/>
          <w:szCs w:val="20"/>
          <w:rtl w:val="0"/>
        </w:rPr>
        <w:t>é</w:t>
      </w:r>
      <w:r>
        <w:rPr>
          <w:rStyle w:val="None"/>
          <w:rFonts w:ascii="Times New Roman" w:hAnsi="Times New Roman"/>
          <w:b w:val="1"/>
          <w:bCs w:val="1"/>
          <w:sz w:val="20"/>
          <w:szCs w:val="20"/>
          <w:rtl w:val="0"/>
        </w:rPr>
        <w:t>dia:</w:t>
      </w:r>
      <w:r>
        <w:rPr>
          <w:rStyle w:val="None"/>
          <w:rFonts w:ascii="Times New Roman" w:hAnsi="Times New Roman" w:hint="default"/>
          <w:sz w:val="20"/>
          <w:szCs w:val="20"/>
          <w:rtl w:val="0"/>
        </w:rPr>
        <w:t> 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Normální"/>
        <w:rPr>
          <w:rStyle w:val="None"/>
          <w:rFonts w:ascii="Arial Unicode MS" w:cs="Arial Unicode MS" w:hAnsi="Arial Unicode MS" w:eastAsia="Arial Unicode MS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Debbie Fowler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Kingston Technology Europe Co LLP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   </w:t>
      </w:r>
    </w:p>
    <w:p>
      <w:pPr>
        <w:pStyle w:val="Normální"/>
        <w:rPr>
          <w:rStyle w:val="None"/>
          <w:rFonts w:ascii="Times New Roman" w:cs="Times New Roman" w:hAnsi="Times New Roman" w:eastAsia="Times New Roman"/>
          <w:sz w:val="18"/>
          <w:szCs w:val="18"/>
        </w:rPr>
      </w:pPr>
      <w:r>
        <w:rPr>
          <w:rStyle w:val="None"/>
          <w:rFonts w:ascii="Times New Roman" w:hAnsi="Times New Roman"/>
          <w:sz w:val="18"/>
          <w:szCs w:val="18"/>
          <w:rtl w:val="0"/>
        </w:rPr>
        <w:t>07775695576</w:t>
      </w:r>
      <w:r>
        <w:rPr>
          <w:rStyle w:val="None"/>
          <w:rFonts w:ascii="Times New Roman" w:hAnsi="Times New Roman" w:hint="default"/>
          <w:sz w:val="18"/>
          <w:szCs w:val="18"/>
          <w:rtl w:val="0"/>
        </w:rPr>
        <w:t>  </w:t>
      </w:r>
    </w:p>
    <w:p>
      <w:pPr>
        <w:pStyle w:val="Normální"/>
        <w:rPr>
          <w:rStyle w:val="Hyperlink.5"/>
          <w:rFonts w:ascii="Times New Roman" w:cs="Times New Roman" w:hAnsi="Times New Roman" w:eastAsia="Times New Roman"/>
          <w:sz w:val="18"/>
          <w:szCs w:val="18"/>
        </w:rPr>
      </w:pPr>
      <w:r>
        <w:rPr>
          <w:rStyle w:val="Hyperlink.5"/>
          <w:rFonts w:ascii="Times New Roman" w:cs="Times New Roman" w:hAnsi="Times New Roman" w:eastAsia="Times New Roman"/>
          <w:sz w:val="18"/>
          <w:szCs w:val="18"/>
        </w:rPr>
        <w:fldChar w:fldCharType="begin" w:fldLock="0"/>
      </w:r>
      <w:r>
        <w:rPr>
          <w:rStyle w:val="Hyperlink.5"/>
          <w:rFonts w:ascii="Times New Roman" w:cs="Times New Roman" w:hAnsi="Times New Roman" w:eastAsia="Times New Roman"/>
          <w:sz w:val="18"/>
          <w:szCs w:val="18"/>
        </w:rPr>
        <w:instrText xml:space="preserve"> HYPERLINK "mailto:Dfowler@kingston.eu"</w:instrText>
      </w:r>
      <w:r>
        <w:rPr>
          <w:rStyle w:val="Hyperlink.5"/>
          <w:rFonts w:ascii="Times New Roman" w:cs="Times New Roman" w:hAnsi="Times New Roman" w:eastAsia="Times New Roman"/>
          <w:sz w:val="18"/>
          <w:szCs w:val="18"/>
        </w:rPr>
        <w:fldChar w:fldCharType="separate" w:fldLock="0"/>
      </w:r>
      <w:r>
        <w:rPr>
          <w:rStyle w:val="Hyperlink.5"/>
          <w:rFonts w:ascii="Times New Roman" w:hAnsi="Times New Roman"/>
          <w:sz w:val="18"/>
          <w:szCs w:val="18"/>
          <w:rtl w:val="0"/>
        </w:rPr>
        <w:t>Dfowler@kingston.eu</w:t>
      </w:r>
      <w:r>
        <w:rPr/>
        <w:fldChar w:fldCharType="end" w:fldLock="0"/>
      </w:r>
    </w:p>
    <w:p>
      <w:pPr>
        <w:pStyle w:val="Normální"/>
      </w:pPr>
    </w:p>
    <w:p>
      <w:pPr>
        <w:pStyle w:val="Normální"/>
        <w:rPr>
          <w:rStyle w:val="Hyperlink.5"/>
          <w:rFonts w:ascii="Times New Roman" w:cs="Times New Roman" w:hAnsi="Times New Roman" w:eastAsia="Times New Roman"/>
          <w:sz w:val="18"/>
          <w:szCs w:val="18"/>
        </w:rPr>
      </w:pPr>
      <w:r>
        <w:rPr>
          <w:rStyle w:val="Hyperlink.5"/>
          <w:rFonts w:ascii="Times New Roman" w:hAnsi="Times New Roman"/>
          <w:sz w:val="18"/>
          <w:szCs w:val="18"/>
          <w:rtl w:val="0"/>
        </w:rPr>
        <w:t>Jasna S</w:t>
      </w:r>
      <w:r>
        <w:rPr>
          <w:rStyle w:val="Hyperlink.5"/>
          <w:rFonts w:ascii="Times New Roman" w:hAnsi="Times New Roman" w:hint="default"/>
          <w:sz w:val="18"/>
          <w:szCs w:val="18"/>
          <w:rtl w:val="0"/>
        </w:rPr>
        <w:t>ý</w:t>
      </w:r>
      <w:r>
        <w:rPr>
          <w:rStyle w:val="Hyperlink.5"/>
          <w:rFonts w:ascii="Times New Roman" w:hAnsi="Times New Roman"/>
          <w:sz w:val="18"/>
          <w:szCs w:val="18"/>
          <w:rtl w:val="0"/>
        </w:rPr>
        <w:t>korov</w:t>
      </w:r>
      <w:r>
        <w:rPr>
          <w:rStyle w:val="Hyperlink.5"/>
          <w:rFonts w:ascii="Times New Roman" w:hAnsi="Times New Roman" w:hint="default"/>
          <w:sz w:val="18"/>
          <w:szCs w:val="18"/>
          <w:rtl w:val="0"/>
        </w:rPr>
        <w:t>á</w:t>
      </w:r>
    </w:p>
    <w:p>
      <w:pPr>
        <w:pStyle w:val="Normální"/>
        <w:rPr>
          <w:rStyle w:val="Hyperlink.5"/>
          <w:rFonts w:ascii="Times New Roman" w:cs="Times New Roman" w:hAnsi="Times New Roman" w:eastAsia="Times New Roman"/>
          <w:sz w:val="18"/>
          <w:szCs w:val="18"/>
        </w:rPr>
      </w:pPr>
      <w:r>
        <w:rPr>
          <w:rStyle w:val="Hyperlink.5"/>
          <w:rFonts w:ascii="Times New Roman" w:hAnsi="Times New Roman"/>
          <w:sz w:val="18"/>
          <w:szCs w:val="18"/>
          <w:rtl w:val="0"/>
        </w:rPr>
        <w:t>Takti</w:t>
      </w:r>
      <w:r>
        <w:rPr>
          <w:rStyle w:val="Hyperlink.5"/>
          <w:rFonts w:ascii="Times New Roman" w:hAnsi="Times New Roman"/>
          <w:sz w:val="18"/>
          <w:szCs w:val="18"/>
          <w:rtl w:val="0"/>
        </w:rPr>
        <w:t>q</w:t>
      </w:r>
      <w:r>
        <w:rPr>
          <w:rStyle w:val="Hyperlink.5"/>
          <w:rFonts w:ascii="Times New Roman" w:hAnsi="Times New Roman"/>
          <w:sz w:val="18"/>
          <w:szCs w:val="18"/>
          <w:rtl w:val="0"/>
        </w:rPr>
        <w:t xml:space="preserve"> Communications s.r.o.</w:t>
      </w:r>
      <w:r>
        <w:rPr>
          <w:rStyle w:val="Hyperlink.5"/>
          <w:rFonts w:ascii="Times New Roman" w:hAnsi="Times New Roman" w:hint="default"/>
          <w:sz w:val="18"/>
          <w:szCs w:val="18"/>
          <w:rtl w:val="0"/>
        </w:rPr>
        <w:t> </w:t>
      </w:r>
    </w:p>
    <w:p>
      <w:pPr>
        <w:pStyle w:val="Normální"/>
        <w:rPr>
          <w:rStyle w:val="Hyperlink.5"/>
          <w:rFonts w:ascii="Times New Roman" w:cs="Times New Roman" w:hAnsi="Times New Roman" w:eastAsia="Times New Roman"/>
          <w:sz w:val="18"/>
          <w:szCs w:val="18"/>
        </w:rPr>
      </w:pPr>
      <w:r>
        <w:rPr>
          <w:rStyle w:val="Hyperlink.5"/>
          <w:rFonts w:ascii="Times New Roman" w:hAnsi="Times New Roman"/>
          <w:sz w:val="18"/>
          <w:szCs w:val="18"/>
          <w:rtl w:val="0"/>
        </w:rPr>
        <w:t>+420 739 415 163</w:t>
      </w:r>
    </w:p>
    <w:p>
      <w:pPr>
        <w:pStyle w:val="Normální"/>
      </w:pPr>
      <w:r>
        <w:rPr>
          <w:rStyle w:val="Hyperlink.6"/>
          <w:rFonts w:ascii="Times New Roman" w:cs="Times New Roman" w:hAnsi="Times New Roman" w:eastAsia="Times New Roman"/>
          <w:color w:val="0000ff"/>
          <w:sz w:val="18"/>
          <w:szCs w:val="18"/>
          <w:u w:val="single" w:color="0000ff"/>
        </w:rPr>
        <w:fldChar w:fldCharType="begin" w:fldLock="0"/>
      </w:r>
      <w:r>
        <w:rPr>
          <w:rStyle w:val="Hyperlink.6"/>
          <w:rFonts w:ascii="Times New Roman" w:cs="Times New Roman" w:hAnsi="Times New Roman" w:eastAsia="Times New Roman"/>
          <w:color w:val="0000ff"/>
          <w:sz w:val="18"/>
          <w:szCs w:val="18"/>
          <w:u w:val="single" w:color="0000ff"/>
        </w:rPr>
        <w:instrText xml:space="preserve"> HYPERLINK "mailto:jasna.sykorova@taktiq.com"</w:instrText>
      </w:r>
      <w:r>
        <w:rPr>
          <w:rStyle w:val="Hyperlink.6"/>
          <w:rFonts w:ascii="Times New Roman" w:cs="Times New Roman" w:hAnsi="Times New Roman" w:eastAsia="Times New Roman"/>
          <w:color w:val="0000ff"/>
          <w:sz w:val="18"/>
          <w:szCs w:val="18"/>
          <w:u w:val="single" w:color="0000ff"/>
        </w:rPr>
        <w:fldChar w:fldCharType="separate" w:fldLock="0"/>
      </w:r>
      <w:r>
        <w:rPr>
          <w:rStyle w:val="Hyperlink.6"/>
          <w:rFonts w:ascii="Times New Roman" w:hAnsi="Times New Roman"/>
          <w:color w:val="0000ff"/>
          <w:sz w:val="18"/>
          <w:szCs w:val="18"/>
          <w:u w:val="single" w:color="0000ff"/>
          <w:rtl w:val="0"/>
        </w:rPr>
        <w:t>jasna.sykorova@taktiq.com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1440" w:right="1325" w:bottom="1440" w:left="15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14"/>
        </w:tabs>
        <w:ind w:left="143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14"/>
        </w:tabs>
        <w:ind w:left="21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14"/>
        </w:tabs>
        <w:ind w:left="287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14"/>
        </w:tabs>
        <w:ind w:left="359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14"/>
        </w:tabs>
        <w:ind w:left="43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14"/>
        </w:tabs>
        <w:ind w:left="503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14"/>
        </w:tabs>
        <w:ind w:left="57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14"/>
        </w:tabs>
        <w:ind w:left="647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09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09"/>
          </w:tabs>
          <w:ind w:left="1429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09"/>
          </w:tabs>
          <w:ind w:left="2149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709"/>
          </w:tabs>
          <w:ind w:left="2869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09"/>
          </w:tabs>
          <w:ind w:left="3589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09"/>
          </w:tabs>
          <w:ind w:left="4309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709"/>
          </w:tabs>
          <w:ind w:left="5029" w:hanging="357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09"/>
          </w:tabs>
          <w:ind w:left="5749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09"/>
          </w:tabs>
          <w:ind w:left="6469" w:hanging="35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ální">
    <w:name w:val="Normální"/>
    <w:next w:val="Normáln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sz w:val="22"/>
      <w:szCs w:val="22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z w:val="22"/>
      <w:szCs w:val="22"/>
    </w:rPr>
  </w:style>
  <w:style w:type="character" w:styleId="Hyperlink.2">
    <w:name w:val="Hyperlink.2"/>
    <w:basedOn w:val="None"/>
    <w:next w:val="Hyperlink.2"/>
    <w:rPr>
      <w:rFonts w:ascii="Calibri" w:cs="Calibri" w:hAnsi="Calibri" w:eastAsia="Calibri"/>
      <w:color w:val="0000ff"/>
      <w:sz w:val="20"/>
      <w:szCs w:val="20"/>
      <w:u w:val="single" w:color="0000ff"/>
    </w:rPr>
  </w:style>
  <w:style w:type="character" w:styleId="Hyperlink.3">
    <w:name w:val="Hyperlink.3"/>
    <w:basedOn w:val="Link"/>
    <w:next w:val="Hyperlink.3"/>
    <w:rPr>
      <w:sz w:val="20"/>
      <w:szCs w:val="20"/>
    </w:rPr>
  </w:style>
  <w:style w:type="character" w:styleId="Hyperlink.4">
    <w:name w:val="Hyperlink.4"/>
    <w:basedOn w:val="Link"/>
    <w:next w:val="Hyperlink.4"/>
    <w:rPr>
      <w:sz w:val="16"/>
      <w:szCs w:val="16"/>
    </w:rPr>
  </w:style>
  <w:style w:type="paragraph" w:styleId="Body Text 3">
    <w:name w:val="Body Text 3"/>
    <w:next w:val="Body Tex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5">
    <w:name w:val="Hyperlink.5"/>
    <w:basedOn w:val="None"/>
    <w:next w:val="Hyperlink.5"/>
    <w:rPr>
      <w:rFonts w:ascii="Times New Roman" w:cs="Times New Roman" w:hAnsi="Times New Roman" w:eastAsia="Times New Roman"/>
      <w:sz w:val="18"/>
      <w:szCs w:val="18"/>
    </w:rPr>
  </w:style>
  <w:style w:type="character" w:styleId="Hyperlink.6">
    <w:name w:val="Hyperlink.6"/>
    <w:basedOn w:val="None"/>
    <w:next w:val="Hyperlink.6"/>
    <w:rPr>
      <w:rFonts w:ascii="Times New Roman" w:cs="Times New Roman" w:hAnsi="Times New Roman" w:eastAsia="Times New Roman"/>
      <w:color w:val="0000ff"/>
      <w:sz w:val="18"/>
      <w:szCs w:val="18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