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1"/>
          <w:color w:val="a6a6a6"/>
          <w:sz w:val="32"/>
          <w:szCs w:val="32"/>
          <w:rtl w:val="0"/>
        </w:rPr>
        <w:t xml:space="preserve">                             Tisková zpráva CES 2017 </w:t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1977390</wp:posOffset>
            </wp:positionH>
            <wp:positionV relativeFrom="paragraph">
              <wp:posOffset>210820</wp:posOffset>
            </wp:positionV>
            <wp:extent cx="1921510" cy="679450"/>
            <wp:effectExtent b="0" l="0" r="0" t="0"/>
            <wp:wrapSquare wrapText="bothSides" distB="0" distT="0" distL="114300" distR="114300"/>
            <wp:docPr descr="HyperX TM for peripherals" id="2" name="image03.jpg"/>
            <a:graphic>
              <a:graphicData uri="http://schemas.openxmlformats.org/drawingml/2006/picture">
                <pic:pic>
                  <pic:nvPicPr>
                    <pic:cNvPr descr="HyperX TM for peripherals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679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center" w:pos="4680"/>
          <w:tab w:val="right" w:pos="93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68930" cy="1933612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8930" cy="1933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7">
        <w:r w:rsidDel="00000000" w:rsidR="00000000" w:rsidRPr="00000000">
          <w:rPr>
            <w:rFonts w:ascii="Arial" w:cs="Arial" w:eastAsia="Arial" w:hAnsi="Arial"/>
            <w:b w:val="0"/>
            <w:color w:val="000000"/>
            <w:sz w:val="18"/>
            <w:szCs w:val="18"/>
            <w:u w:val="none"/>
            <w:rtl w:val="0"/>
          </w:rPr>
          <w:t xml:space="preserve">                                                                                      </w:t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HyperX představuje první herní </w:t>
      </w:r>
      <w:r w:rsidDel="00000000" w:rsidR="00000000" w:rsidRPr="00000000">
        <w:rPr>
          <w:b w:val="1"/>
          <w:sz w:val="28"/>
          <w:szCs w:val="28"/>
          <w:rtl w:val="0"/>
        </w:rPr>
        <w:t xml:space="preserve">headset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 zvukem Dolby Surround Sound,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který je “plug-and-play”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u w:val="none"/>
          <w:rtl w:val="0"/>
        </w:rPr>
        <w:t xml:space="preserve">Náhlavní sada HyperX Cloud Revolver S </w:t>
      </w:r>
      <w:r w:rsidDel="00000000" w:rsidR="00000000" w:rsidRPr="00000000">
        <w:rPr>
          <w:i w:val="1"/>
          <w:sz w:val="22"/>
          <w:szCs w:val="22"/>
          <w:rtl w:val="0"/>
        </w:rPr>
        <w:t xml:space="preserve">umožňuje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u w:val="none"/>
          <w:rtl w:val="0"/>
        </w:rPr>
        <w:t xml:space="preserve">hráčům nechat se pohltit zvukem v Dolby kvalitě po stisku jediného tlačítka – stačí ji připojit, není potřebný žádný software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INTERNATIONAL CES, LAS VEGAS – 3. ledna 2016 –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HyperX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vertAlign w:val="superscript"/>
            <w:rtl w:val="0"/>
          </w:rPr>
          <w:t xml:space="preserve">®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divize společnosti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Kingston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vertAlign w:val="superscript"/>
            <w:rtl w:val="0"/>
          </w:rPr>
          <w:t xml:space="preserve">®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 Technology Company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2"/>
          <w:szCs w:val="22"/>
          <w:rtl w:val="0"/>
        </w:rPr>
        <w:t xml:space="preserve">, Inc.,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 dnes oznámila uvedení své dosud nejvyspělejší náhlavní sady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single"/>
          <w:rtl w:val="0"/>
        </w:rPr>
        <w:t xml:space="preserve">HyperX Cloud Revolver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superscript"/>
          <w:rtl w:val="0"/>
        </w:rPr>
        <w:t xml:space="preserve">TM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singl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 s prostorovým zvukem Dolby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7.1. Divize HyperX vestavěla technologii Dolby Headphone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do nového USB donglu – tato technologie přináší po jediném stisku tlačítka špičkový zvuk, který vás pohltí. Náušníky jsou z paměťové pěny značky HyperX a ve spojení s novým širokým náhlavním páskem poskytují větší pohodlí i při nekonečných hodinách hraní. Nová špičková náhlavní sada navíc podporuje různé operační systémy, má drivery o průměru 50 mm a mikrofon s funkcí potlačení okolního hluku, který je navržen pro použití profesionálními hráči a týmy eSports na celém světě.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Náhlavní sada Cloud Revolver S má stejně realistický zvukový obraz díky technologii Dolby Headphone jako i další sady řady Cloud Revolver, za něž HyperX získala mnohá ocenění, a je navržena tak, aby nabízela komfort a bezkonkurenční výkon s čistým zvukem a širokým zvukovým obrazem, který je výhodný pro „střílečky“ (FPS) a hry ve 3D prostředí. Sedmikanálový zvukový systém Dolby Headphone 7.1 vytváří velmi osobní a pohlcující zážitek z hraní – emuluje zvuk jako v kinech, který hráče vtáhne přímo do středu akce, v níž se může s výhodou skvěle orientovat.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„Náhlavní sada HyperX Cloud Revolver S hráčům nabízí špičkový zvuk po stisku jediného tlačítka, špičkový výkon a špičkové pohodlí. Stačí ji připojit, stisknout tlačítko a hned máte zvuk v Dolby kvalitě,“ řekl Edward Baily, obchodní ředitel HyperX pro EMEA. „Můžete hrát hry, sledovat filmy nebo poslouchat hudbu a ohromující zvuk náhlavní sady Cloud Revolver S vás svou kvalitou pohltí jako v kině.“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Náhlavní sada Cloud Revolver S vytváří zvukový prostor díky jedinečné technologii konstrukce driverů, která hráčům umožňuje představit si, z jakých směrů a vzdáleností přicházejí různé zvuky kolem nich. Hráči si navíc mohou vybrat své oblíbené nastavení díky ekvalizéru se třemi předdefinovanými profily: zdůraznění, rovná charakteristika a zvýraznění hlasů. Získají navíc výhodu u „stříleček“ a her ve 3D prostředí, protože uslyší, kde se soupeři nacházejí – a to mnohem ostřeji a přesněji, než to bylo dosud možné.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2"/>
          <w:szCs w:val="22"/>
          <w:rtl w:val="0"/>
        </w:rPr>
        <w:t xml:space="preserve">Informace o náhlavní sadě HyperX Revolver 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Náhlavní sada Cloud Revolver S je vytvořena s cílem poskytnout špičkový zážitek z hraní a navíc má tyto další vlastnosti: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hanging="360"/>
        <w:contextualSpacing w:val="1"/>
        <w:rPr>
          <w:b w:val="0"/>
          <w:color w:val="40404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2"/>
          <w:szCs w:val="22"/>
          <w:rtl w:val="0"/>
        </w:rPr>
        <w:t xml:space="preserve">Dolby Surround Sound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404040"/>
          <w:sz w:val="22"/>
          <w:szCs w:val="22"/>
          <w:rtl w:val="0"/>
        </w:rPr>
        <w:t xml:space="preserve"> – Nový USB dongle pro zpracování zvuku zajistí prostorový zvuk, funguje v režimu plug-and-play a má vestavěnou vysoce kvalitní zvukovou kartu.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hanging="360"/>
        <w:contextualSpacing w:val="1"/>
        <w:rPr>
          <w:b w:val="0"/>
          <w:color w:val="40404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2"/>
          <w:szCs w:val="22"/>
          <w:rtl w:val="0"/>
        </w:rPr>
        <w:t xml:space="preserve">Vytvořeno pro hráče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404040"/>
          <w:sz w:val="22"/>
          <w:szCs w:val="22"/>
          <w:rtl w:val="0"/>
        </w:rPr>
        <w:t xml:space="preserve">Tři předdefinované profily ekvalizéru, nezávislé ovládání hlasitosti a tlačítko pro ztlumení mikrofonu a LED podsvícení pro rychlou kontrolu aktivních režimů.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hanging="360"/>
        <w:contextualSpacing w:val="1"/>
        <w:rPr>
          <w:b w:val="0"/>
          <w:color w:val="40404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2"/>
          <w:szCs w:val="22"/>
          <w:rtl w:val="0"/>
        </w:rPr>
        <w:t xml:space="preserve">Nový design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404040"/>
          <w:sz w:val="22"/>
          <w:szCs w:val="22"/>
          <w:rtl w:val="0"/>
        </w:rPr>
        <w:t xml:space="preserve">– Širší hlavový pásek, matná černá povrchová úprava a náušníky z paměťové pěny HyperX Signature Memory Foam.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hanging="360"/>
        <w:contextualSpacing w:val="1"/>
        <w:rPr>
          <w:b w:val="0"/>
          <w:color w:val="40404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2"/>
          <w:szCs w:val="22"/>
          <w:rtl w:val="0"/>
        </w:rPr>
        <w:t xml:space="preserve">Špičkový výkon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404040"/>
          <w:sz w:val="22"/>
          <w:szCs w:val="22"/>
          <w:rtl w:val="0"/>
        </w:rPr>
        <w:t xml:space="preserve">– Na rozdíl od konkurenčních náhlavních sad není potřeba žádný software nebo samostatný audio box.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Další technické údaje náhlavní sady HyperX Revolver 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Sluchátka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Driver: Dynamický, průměr 50 mm s neodymovými magnety.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Typ: Circumaurální (kolem celého ucha), uzavřená zadní část.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Frekvenční charakteristika: 12 Hz – 28.000 Hz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Impedance: 30 Ω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Hladina akustického tlaku: 100,5 dB SPL/mW na kmitočtu 1 kHz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Celkové harmonické zkreslení (THD): &lt; 2%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Odběr energie: Jmenovitý 30 mW, maximální 500 mW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Hmotnost: 360 g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Hmotnost včetně mikrofonu: 376 g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Délka kabelu: 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Náhlavní sada: 1 m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Audio Control Box: 2,2 m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Prodlužovací kabel pro PC: 2 m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Typ připojení: 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Náhlavní sada: jack 3,5 mm (4pólový) 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Audio Control Box: USB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Prodlužovací kabel pro PC: jacky 3,5 mm stereo a mikrofonní vstup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Mikrofon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Typ převodníku: Elektretový kondenzátorový mikrofon 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Směrová charakteristika: Dvousměrový, s funkcí potlačení okolního hluku 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Frekvenční charakteristika: 50 Hz – 18.000 Hz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Citlivost: -44 dBV (0 dB = 1 V/Pa, 1 kHz)</w:t>
      </w:r>
    </w:p>
    <w:p w:rsidR="00000000" w:rsidDel="00000000" w:rsidP="00000000" w:rsidRDefault="00000000" w:rsidRPr="000000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  <w:rtl w:val="0"/>
        </w:rPr>
        <w:t xml:space="preserve">Dostupnost a podpora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none"/>
          <w:rtl w:val="0"/>
        </w:rPr>
        <w:t xml:space="preserve">Náhlavní sada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single"/>
          <w:rtl w:val="0"/>
        </w:rPr>
        <w:t xml:space="preserve">Cloud Revolver 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none"/>
          <w:rtl w:val="0"/>
        </w:rPr>
        <w:t xml:space="preserve"> (výrobcem doporučená maloobchodní cena 169,99 €) bude k dostání od 1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none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března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none"/>
          <w:rtl w:val="0"/>
        </w:rPr>
        <w:t xml:space="preserve">2017 prostřednictvím sítě maloobchodních a internetových prodejců divize HyperX. Náhlavní sada Cloud Revolver S má dvouletou limitovanou záruku a servisní a zákaznickou podporu, která je u HyperX jedna z nejlepších v daném oboru. Náhlavní sada Cloud Revolver S bude vystavena na veletrhu spotřební elektroniky International CES 2017, který se koná v Las Vegas od 5. do 8. ledna 2017.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  <w:rtl w:val="0"/>
        </w:rPr>
        <w:t xml:space="preserve">O divizi HyperX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</w:pPr>
      <w:hyperlink r:id="rId17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HyperX</w:t>
        </w:r>
      </w:hyperlink>
      <w:r w:rsidDel="00000000" w:rsidR="00000000" w:rsidRPr="00000000">
        <w:rPr>
          <w:sz w:val="22"/>
          <w:szCs w:val="22"/>
          <w:rtl w:val="0"/>
        </w:rPr>
        <w:t xml:space="preserve"> je divizí společnosti Kingston Technology zaměřenou na vysoce výkonné produkty, mezi něž patří vysokorychlostní paměti DDR4 a DDR3, SSD disky, USB flash disky, náhlavní sady a podložky pod myši. Značka HyperX se zaměřuje na hráče, nadšence a ty, kdo své počítače přetaktovávají, a je na celém světě známá svou kvalitou, výkonem a úrovní inovace. Divize HyperX se věnuje oblasti tzv. eSports, kde sponzoruje více než </w:t>
      </w:r>
      <w:hyperlink r:id="rId18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20 týmů na celém světě</w:t>
        </w:r>
      </w:hyperlink>
      <w:r w:rsidDel="00000000" w:rsidR="00000000" w:rsidRPr="00000000">
        <w:rPr>
          <w:sz w:val="22"/>
          <w:szCs w:val="22"/>
          <w:rtl w:val="0"/>
        </w:rPr>
        <w:t xml:space="preserve"> a je hlavním sponzorem soutěže </w:t>
      </w:r>
      <w:hyperlink r:id="rId19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Intel Extreme Masters</w:t>
        </w:r>
      </w:hyperlink>
      <w:r w:rsidDel="00000000" w:rsidR="00000000" w:rsidRPr="00000000">
        <w:rPr>
          <w:sz w:val="22"/>
          <w:szCs w:val="22"/>
          <w:rtl w:val="0"/>
        </w:rPr>
        <w:t xml:space="preserve">. HyperX se účastní mnoha výstav, mezi něž patří například </w:t>
      </w:r>
      <w:hyperlink r:id="rId20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Brasil Game Show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21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China Joy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22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DreamHack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23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gamescom</w:t>
        </w:r>
      </w:hyperlink>
      <w:r w:rsidDel="00000000" w:rsidR="00000000" w:rsidRPr="00000000">
        <w:rPr>
          <w:sz w:val="22"/>
          <w:szCs w:val="22"/>
          <w:rtl w:val="0"/>
        </w:rPr>
        <w:t xml:space="preserve"> a </w:t>
      </w:r>
      <w:hyperlink r:id="rId24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PAX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Podrobnější informace můžete získat na domovském webu divize </w:t>
      </w:r>
      <w:hyperlink r:id="rId25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HyperX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b w:val="1"/>
          <w:sz w:val="22"/>
          <w:szCs w:val="22"/>
          <w:rtl w:val="0"/>
        </w:rPr>
        <w:t xml:space="preserve">Další informace o divizi HyperX můžete najít zde: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34"/>
        </w:tabs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YouTube: </w:t>
        <w:tab/>
      </w:r>
      <w:hyperlink r:id="rId26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http://www.youtube.com/kingstonhyperx</w:t>
        </w:r>
      </w:hyperlink>
      <w:hyperlink r:id="rId2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1134"/>
        </w:tabs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Facebook: </w:t>
        <w:tab/>
      </w:r>
      <w:hyperlink r:id="rId28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http://www.facebook.com/hyperxcommunity</w:t>
        </w:r>
      </w:hyperlink>
      <w:hyperlink r:id="rId2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1134"/>
        </w:tabs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Twitter:    </w:t>
        <w:tab/>
      </w:r>
      <w:hyperlink r:id="rId30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http://twitter.com/hyperx</w:t>
        </w:r>
      </w:hyperlink>
      <w:hyperlink r:id="rId3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1134"/>
        </w:tabs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LinkedIn: </w:t>
        <w:tab/>
      </w:r>
      <w:hyperlink r:id="rId32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http://www.linkedin.com/company/164609?trk=tyah</w:t>
        </w:r>
      </w:hyperlink>
      <w:hyperlink r:id="rId3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1134"/>
        </w:tabs>
        <w:spacing w:line="360" w:lineRule="auto"/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Google+: </w:t>
        <w:tab/>
      </w:r>
      <w:hyperlink r:id="rId34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https://plus.google.com/u/0/+kingston/posts</w:t>
        </w:r>
      </w:hyperlink>
      <w:hyperlink r:id="rId3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hyperlink r:id="rId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HyperX</w:t>
      </w:r>
      <w:r w:rsidDel="00000000" w:rsidR="00000000" w:rsidRPr="00000000">
        <w:rPr>
          <w:color w:val="000000"/>
          <w:sz w:val="22"/>
          <w:szCs w:val="22"/>
          <w:vertAlign w:val="superscript"/>
          <w:rtl w:val="0"/>
        </w:rPr>
        <w:t xml:space="preserve">®</w:t>
      </w:r>
      <w:r w:rsidDel="00000000" w:rsidR="00000000" w:rsidRPr="00000000">
        <w:rPr>
          <w:sz w:val="22"/>
          <w:szCs w:val="22"/>
          <w:rtl w:val="0"/>
        </w:rPr>
        <w:t xml:space="preserve"> je divize společnosti Kingston Technology Company, Inc., největšího nezávislého výrobce paměťových produktů na světě. Divize HyperX byla založena v roce 2002 a má sídlo v kalifornském Fountain Valley ve Spojených státech. Další informace můžete získat na telefonním čísle +44 (0)1932 738888 nebo na internetové adrese </w:t>
      </w:r>
      <w:hyperlink r:id="rId37">
        <w:r w:rsidDel="00000000" w:rsidR="00000000" w:rsidRPr="00000000">
          <w:rPr>
            <w:sz w:val="22"/>
            <w:szCs w:val="22"/>
            <w:rtl w:val="0"/>
          </w:rPr>
          <w:t xml:space="preserve">www.kingston.com/us/memory/hyperx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552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Kontakty pro média:</w:t>
      </w:r>
    </w:p>
    <w:p w:rsidR="00000000" w:rsidDel="00000000" w:rsidP="00000000" w:rsidRDefault="00000000" w:rsidRPr="00000000">
      <w:pPr>
        <w:ind w:right="1552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7.0" w:type="dxa"/>
        <w:jc w:val="left"/>
        <w:tblInd w:w="2.0" w:type="dxa"/>
        <w:tblLayout w:type="fixed"/>
        <w:tblLook w:val="0000"/>
      </w:tblPr>
      <w:tblGrid>
        <w:gridCol w:w="4257"/>
        <w:gridCol w:w="4050"/>
        <w:tblGridChange w:id="0">
          <w:tblGrid>
            <w:gridCol w:w="4257"/>
            <w:gridCol w:w="40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ind w:right="-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Chloe Lara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Ivan Sobička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ind w:right="-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Kingston Technology Co LLP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TAKTIQ COMMUNICATIONS s.r.o.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ind w:right="-2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+44 (0) 1932 738888, linka 8801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+420 604 166 751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ind w:right="-22"/>
              <w:contextualSpacing w:val="0"/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sz w:val="22"/>
                  <w:szCs w:val="22"/>
                  <w:u w:val="single"/>
                  <w:rtl w:val="0"/>
                </w:rPr>
                <w:t xml:space="preserve">Clara@kingston.eu</w:t>
              </w:r>
            </w:hyperlink>
            <w:hyperlink r:id="rId39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hyperlink r:id="rId40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ivan.sobicka@taktiq.com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ind w:right="15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u w:val="none"/>
          <w:rtl w:val="0"/>
        </w:rPr>
        <w:t xml:space="preserve">#  #  #</w:t>
      </w:r>
    </w:p>
    <w:p w:rsidR="00000000" w:rsidDel="00000000" w:rsidP="00000000" w:rsidRDefault="00000000" w:rsidRPr="00000000">
      <w:pPr>
        <w:tabs>
          <w:tab w:val="left" w:pos="252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u w:val="none"/>
          <w:rtl w:val="0"/>
        </w:rPr>
        <w:t xml:space="preserve">Kingston, logo Kingston a HyperX jsou registrované ochranné známky společnosti Kingston Technology Corporation. Všechna práva jsou vyhrazena. Veškeré ostatní ochranné známky mohou být majetkem příslušných oprávněných vlastníků.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41" w:type="default"/>
      <w:footerReference r:id="rId42" w:type="default"/>
      <w:pgSz w:h="16839" w:w="11907"/>
      <w:pgMar w:bottom="1152" w:top="1440" w:left="1296" w:right="12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9323"/>
      </w:tabs>
      <w:spacing w:after="0" w:before="72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color w:val="7f7f7f"/>
        <w:sz w:val="16"/>
        <w:szCs w:val="16"/>
        <w:rtl w:val="0"/>
      </w:rPr>
      <w:t xml:space="preserve">Strana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 | </w:t>
    </w: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</w:rPr>
      </w:r>
    </w:fldSimple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color w:val="808080"/>
        <w:sz w:val="14"/>
        <w:szCs w:val="14"/>
        <w:rtl w:val="0"/>
      </w:rPr>
      <w:t xml:space="preserve">TISKOVÁ ZPRÁVA HyperX pro CES 2017 – pokračování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450" w:firstLine="9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610" w:firstLine="225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0" w:lineRule="auto"/>
    </w:pPr>
    <w:rPr>
      <w:rFonts w:ascii="Helvetica Neue" w:cs="Helvetica Neue" w:eastAsia="Helvetica Neue" w:hAnsi="Helvetica Neue"/>
      <w:b w:val="1"/>
      <w:color w:val="b3151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ivan.sobicka@taktiq.com" TargetMode="External"/><Relationship Id="rId20" Type="http://schemas.openxmlformats.org/officeDocument/2006/relationships/hyperlink" Target="http://www.brasilgameshow.com.br/" TargetMode="External"/><Relationship Id="rId42" Type="http://schemas.openxmlformats.org/officeDocument/2006/relationships/footer" Target="footer1.xml"/><Relationship Id="rId41" Type="http://schemas.openxmlformats.org/officeDocument/2006/relationships/header" Target="header1.xml"/><Relationship Id="rId22" Type="http://schemas.openxmlformats.org/officeDocument/2006/relationships/hyperlink" Target="http://www.dreamhack.se" TargetMode="External"/><Relationship Id="rId21" Type="http://schemas.openxmlformats.org/officeDocument/2006/relationships/hyperlink" Target="http://en.chinajoy.net/" TargetMode="External"/><Relationship Id="rId24" Type="http://schemas.openxmlformats.org/officeDocument/2006/relationships/hyperlink" Target="http://www.paxsite.com" TargetMode="External"/><Relationship Id="rId23" Type="http://schemas.openxmlformats.org/officeDocument/2006/relationships/hyperlink" Target="http://www.gamescom-cologne.com/gamescom/index-9.php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mailto:cmancebo@walt.com" TargetMode="External"/><Relationship Id="rId26" Type="http://schemas.openxmlformats.org/officeDocument/2006/relationships/hyperlink" Target="http://www.youtube.com/kingstonhyperx" TargetMode="External"/><Relationship Id="rId25" Type="http://schemas.openxmlformats.org/officeDocument/2006/relationships/hyperlink" Target="http://www.hyperxgaming.com/" TargetMode="External"/><Relationship Id="rId28" Type="http://schemas.openxmlformats.org/officeDocument/2006/relationships/hyperlink" Target="http://www.facebook.com/hyperxcommunity" TargetMode="External"/><Relationship Id="rId27" Type="http://schemas.openxmlformats.org/officeDocument/2006/relationships/hyperlink" Target="http://www.youtube.com/kingstonhyperx" TargetMode="External"/><Relationship Id="rId5" Type="http://schemas.openxmlformats.org/officeDocument/2006/relationships/image" Target="media/image03.jpg"/><Relationship Id="rId6" Type="http://schemas.openxmlformats.org/officeDocument/2006/relationships/image" Target="media/image02.png"/><Relationship Id="rId29" Type="http://schemas.openxmlformats.org/officeDocument/2006/relationships/hyperlink" Target="http://www.facebook.com/hyperxcommunity" TargetMode="External"/><Relationship Id="rId7" Type="http://schemas.openxmlformats.org/officeDocument/2006/relationships/hyperlink" Target="mailto:cmancebo@walt.com" TargetMode="External"/><Relationship Id="rId8" Type="http://schemas.openxmlformats.org/officeDocument/2006/relationships/hyperlink" Target="mailto:cmancebo@walt.com" TargetMode="External"/><Relationship Id="rId31" Type="http://schemas.openxmlformats.org/officeDocument/2006/relationships/hyperlink" Target="http://twitter.com/hyperx" TargetMode="External"/><Relationship Id="rId30" Type="http://schemas.openxmlformats.org/officeDocument/2006/relationships/hyperlink" Target="http://twitter.com/hyperx" TargetMode="External"/><Relationship Id="rId11" Type="http://schemas.openxmlformats.org/officeDocument/2006/relationships/hyperlink" Target="mailto:cmancebo@walt.com" TargetMode="External"/><Relationship Id="rId33" Type="http://schemas.openxmlformats.org/officeDocument/2006/relationships/hyperlink" Target="http://www.linkedin.com/company/164609?trk=tyah" TargetMode="External"/><Relationship Id="rId10" Type="http://schemas.openxmlformats.org/officeDocument/2006/relationships/hyperlink" Target="mailto:cmancebo@walt.com" TargetMode="External"/><Relationship Id="rId32" Type="http://schemas.openxmlformats.org/officeDocument/2006/relationships/hyperlink" Target="http://www.linkedin.com/company/164609?trk=tyah" TargetMode="External"/><Relationship Id="rId13" Type="http://schemas.openxmlformats.org/officeDocument/2006/relationships/hyperlink" Target="http://www.hyperxgaming.com" TargetMode="External"/><Relationship Id="rId35" Type="http://schemas.openxmlformats.org/officeDocument/2006/relationships/hyperlink" Target="https://plus.google.com/u/0/+kingston/posts" TargetMode="External"/><Relationship Id="rId12" Type="http://schemas.openxmlformats.org/officeDocument/2006/relationships/hyperlink" Target="http://www.hyperxgaming.com" TargetMode="External"/><Relationship Id="rId34" Type="http://schemas.openxmlformats.org/officeDocument/2006/relationships/hyperlink" Target="https://plus.google.com/u/0/+kingston/posts" TargetMode="External"/><Relationship Id="rId15" Type="http://schemas.openxmlformats.org/officeDocument/2006/relationships/hyperlink" Target="http://www.kingston.com/us/" TargetMode="External"/><Relationship Id="rId37" Type="http://schemas.openxmlformats.org/officeDocument/2006/relationships/hyperlink" Target="http://www.kingston.com/us/memory/hyperx" TargetMode="External"/><Relationship Id="rId14" Type="http://schemas.openxmlformats.org/officeDocument/2006/relationships/hyperlink" Target="http://www.kingston.com/us/" TargetMode="External"/><Relationship Id="rId36" Type="http://schemas.openxmlformats.org/officeDocument/2006/relationships/hyperlink" Target="https://plus.google.com/u/0/+kingston/posts" TargetMode="External"/><Relationship Id="rId17" Type="http://schemas.openxmlformats.org/officeDocument/2006/relationships/hyperlink" Target="http://www.kingston.com/hyperx" TargetMode="External"/><Relationship Id="rId39" Type="http://schemas.openxmlformats.org/officeDocument/2006/relationships/hyperlink" Target="mailto:Clara@kingston.eu" TargetMode="External"/><Relationship Id="rId16" Type="http://schemas.openxmlformats.org/officeDocument/2006/relationships/hyperlink" Target="http://www.kingston.com/us/" TargetMode="External"/><Relationship Id="rId38" Type="http://schemas.openxmlformats.org/officeDocument/2006/relationships/hyperlink" Target="mailto:Clara@kingston.eu" TargetMode="External"/><Relationship Id="rId19" Type="http://schemas.openxmlformats.org/officeDocument/2006/relationships/hyperlink" Target="http://www.intelextrememasters.com" TargetMode="External"/><Relationship Id="rId18" Type="http://schemas.openxmlformats.org/officeDocument/2006/relationships/hyperlink" Target="http://www.kingston.com/us/memory/hyperx/global-gam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